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431" w:type="dxa"/>
        <w:tblLook w:val="04A0" w:firstRow="1" w:lastRow="0" w:firstColumn="1" w:lastColumn="0" w:noHBand="0" w:noVBand="1"/>
      </w:tblPr>
      <w:tblGrid>
        <w:gridCol w:w="2123"/>
        <w:gridCol w:w="7942"/>
      </w:tblGrid>
      <w:tr w:rsidR="00472FB4" w14:paraId="4EDFBCA8" w14:textId="77777777" w:rsidTr="004A73DC">
        <w:trPr>
          <w:trHeight w:val="507"/>
        </w:trPr>
        <w:tc>
          <w:tcPr>
            <w:tcW w:w="10065" w:type="dxa"/>
            <w:gridSpan w:val="2"/>
            <w:shd w:val="clear" w:color="auto" w:fill="D5DCE4" w:themeFill="text2" w:themeFillTint="33"/>
          </w:tcPr>
          <w:p w14:paraId="0334B3AA" w14:textId="19ADEFB5" w:rsidR="00B45146" w:rsidRDefault="00B45146" w:rsidP="00472FB4">
            <w:pPr>
              <w:pStyle w:val="Title"/>
              <w:jc w:val="center"/>
              <w:rPr>
                <w:b/>
                <w:sz w:val="40"/>
                <w:szCs w:val="40"/>
              </w:rPr>
            </w:pPr>
            <w:r>
              <w:rPr>
                <w:noProof/>
                <w:lang w:eastAsia="en-GB"/>
              </w:rPr>
              <w:drawing>
                <wp:anchor distT="0" distB="0" distL="114300" distR="114300" simplePos="0" relativeHeight="251661312" behindDoc="0" locked="0" layoutInCell="1" allowOverlap="1" wp14:anchorId="63B8384F" wp14:editId="01C99274">
                  <wp:simplePos x="0" y="0"/>
                  <wp:positionH relativeFrom="column">
                    <wp:posOffset>24130</wp:posOffset>
                  </wp:positionH>
                  <wp:positionV relativeFrom="paragraph">
                    <wp:posOffset>28575</wp:posOffset>
                  </wp:positionV>
                  <wp:extent cx="917575" cy="620395"/>
                  <wp:effectExtent l="0" t="0" r="0" b="1905"/>
                  <wp:wrapSquare wrapText="bothSides"/>
                  <wp:docPr id="1" name="Picture 1" descr="Grovedale West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ovedale West Logo 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7575" cy="620395"/>
                          </a:xfrm>
                          <a:prstGeom prst="rect">
                            <a:avLst/>
                          </a:prstGeom>
                          <a:solidFill>
                            <a:srgbClr val="99CC00"/>
                          </a:solidFill>
                        </pic:spPr>
                      </pic:pic>
                    </a:graphicData>
                  </a:graphic>
                  <wp14:sizeRelH relativeFrom="page">
                    <wp14:pctWidth>0</wp14:pctWidth>
                  </wp14:sizeRelH>
                  <wp14:sizeRelV relativeFrom="page">
                    <wp14:pctHeight>0</wp14:pctHeight>
                  </wp14:sizeRelV>
                </wp:anchor>
              </w:drawing>
            </w:r>
          </w:p>
          <w:p w14:paraId="6270D142" w14:textId="796D307B" w:rsidR="00F231EF" w:rsidRPr="00606B42" w:rsidRDefault="00F231EF" w:rsidP="00F231EF">
            <w:pPr>
              <w:pStyle w:val="Title"/>
              <w:rPr>
                <w:b/>
                <w:sz w:val="40"/>
                <w:szCs w:val="40"/>
              </w:rPr>
            </w:pPr>
            <w:r>
              <w:rPr>
                <w:b/>
                <w:sz w:val="40"/>
                <w:szCs w:val="40"/>
              </w:rPr>
              <w:t xml:space="preserve">          </w:t>
            </w:r>
            <w:r w:rsidRPr="00606B42">
              <w:rPr>
                <w:b/>
                <w:sz w:val="46"/>
                <w:szCs w:val="46"/>
              </w:rPr>
              <w:t xml:space="preserve">Grovedale </w:t>
            </w:r>
            <w:r w:rsidR="00BF7A3D" w:rsidRPr="00606B42">
              <w:rPr>
                <w:b/>
                <w:sz w:val="46"/>
                <w:szCs w:val="46"/>
              </w:rPr>
              <w:t xml:space="preserve">West </w:t>
            </w:r>
            <w:r w:rsidR="00A66C71" w:rsidRPr="00606B42">
              <w:rPr>
                <w:b/>
                <w:sz w:val="46"/>
                <w:szCs w:val="46"/>
              </w:rPr>
              <w:t xml:space="preserve">PS </w:t>
            </w:r>
            <w:r w:rsidR="00606B42" w:rsidRPr="00606B42">
              <w:rPr>
                <w:b/>
                <w:sz w:val="46"/>
                <w:szCs w:val="46"/>
              </w:rPr>
              <w:t>Enrolment Policy</w:t>
            </w:r>
          </w:p>
          <w:p w14:paraId="17A9243B" w14:textId="038C0161" w:rsidR="00F231EF" w:rsidRPr="00F231EF" w:rsidRDefault="00F231EF" w:rsidP="00606B42">
            <w:pPr>
              <w:pStyle w:val="Title"/>
              <w:rPr>
                <w:b/>
                <w:sz w:val="40"/>
                <w:szCs w:val="40"/>
              </w:rPr>
            </w:pPr>
            <w:r w:rsidRPr="00F231EF">
              <w:rPr>
                <w:bCs/>
                <w:sz w:val="40"/>
                <w:szCs w:val="40"/>
              </w:rPr>
              <w:t xml:space="preserve">                        </w:t>
            </w:r>
            <w:r>
              <w:rPr>
                <w:bCs/>
                <w:sz w:val="40"/>
                <w:szCs w:val="40"/>
              </w:rPr>
              <w:t xml:space="preserve">       </w:t>
            </w:r>
          </w:p>
        </w:tc>
      </w:tr>
      <w:tr w:rsidR="00447855" w14:paraId="76F382C1" w14:textId="77777777" w:rsidTr="00BE737B">
        <w:tc>
          <w:tcPr>
            <w:tcW w:w="2123" w:type="dxa"/>
          </w:tcPr>
          <w:p w14:paraId="1CC12ED1" w14:textId="31DA320C" w:rsidR="00447855" w:rsidRDefault="00447855" w:rsidP="00472FB4">
            <w:pPr>
              <w:pStyle w:val="Title"/>
              <w:rPr>
                <w:sz w:val="28"/>
                <w:szCs w:val="28"/>
              </w:rPr>
            </w:pPr>
            <w:r w:rsidRPr="00AB6349">
              <w:rPr>
                <w:rFonts w:asciiTheme="minorHAnsi" w:hAnsiTheme="minorHAnsi" w:cstheme="minorHAnsi"/>
                <w:noProof/>
                <w:highlight w:val="yellow"/>
                <w:lang w:eastAsia="en-AU"/>
              </w:rPr>
              <w:drawing>
                <wp:anchor distT="0" distB="0" distL="114300" distR="114300" simplePos="0" relativeHeight="251663360" behindDoc="0" locked="0" layoutInCell="1" allowOverlap="1" wp14:anchorId="22D8A85D" wp14:editId="7764421C">
                  <wp:simplePos x="0" y="0"/>
                  <wp:positionH relativeFrom="margin">
                    <wp:posOffset>-7620</wp:posOffset>
                  </wp:positionH>
                  <wp:positionV relativeFrom="paragraph">
                    <wp:posOffset>102870</wp:posOffset>
                  </wp:positionV>
                  <wp:extent cx="425450" cy="42545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A586BB" w14:textId="4D11759F" w:rsidR="00447855" w:rsidRPr="001566C2" w:rsidRDefault="00447855" w:rsidP="00472FB4">
            <w:pPr>
              <w:pStyle w:val="Title"/>
              <w:rPr>
                <w:sz w:val="28"/>
                <w:szCs w:val="28"/>
              </w:rPr>
            </w:pPr>
          </w:p>
        </w:tc>
        <w:tc>
          <w:tcPr>
            <w:tcW w:w="7942" w:type="dxa"/>
          </w:tcPr>
          <w:p w14:paraId="61785141" w14:textId="2041E02A" w:rsidR="00447855" w:rsidRPr="002271E2" w:rsidRDefault="00447855" w:rsidP="00447855">
            <w:pPr>
              <w:jc w:val="both"/>
              <w:rPr>
                <w:rFonts w:ascii="Cambria" w:hAnsi="Cambria" w:cstheme="minorHAnsi"/>
                <w:b/>
                <w:bCs/>
                <w:color w:val="000000" w:themeColor="text1"/>
                <w:sz w:val="22"/>
                <w:szCs w:val="22"/>
              </w:rPr>
            </w:pPr>
            <w:r w:rsidRPr="002271E2">
              <w:rPr>
                <w:rFonts w:ascii="Cambria" w:hAnsi="Cambria" w:cstheme="minorHAnsi"/>
                <w:b/>
                <w:bCs/>
                <w:color w:val="000000" w:themeColor="text1"/>
                <w:sz w:val="22"/>
                <w:szCs w:val="22"/>
              </w:rPr>
              <w:t>Help for non-English speakers</w:t>
            </w:r>
          </w:p>
          <w:p w14:paraId="3F2E86BB" w14:textId="625160AA" w:rsidR="00447855" w:rsidRPr="002271E2" w:rsidRDefault="00447855" w:rsidP="00447855">
            <w:pPr>
              <w:pStyle w:val="Heading1"/>
              <w:spacing w:before="120"/>
              <w:jc w:val="both"/>
              <w:rPr>
                <w:rFonts w:ascii="Cambria" w:hAnsi="Cambria"/>
                <w:color w:val="000000" w:themeColor="text1"/>
                <w:sz w:val="22"/>
                <w:szCs w:val="22"/>
              </w:rPr>
            </w:pPr>
            <w:r w:rsidRPr="002271E2">
              <w:rPr>
                <w:rFonts w:ascii="Cambria" w:hAnsi="Cambria" w:cstheme="minorHAnsi"/>
                <w:color w:val="000000" w:themeColor="text1"/>
                <w:sz w:val="22"/>
                <w:szCs w:val="22"/>
              </w:rPr>
              <w:t xml:space="preserve">If you need help to understand the information in this </w:t>
            </w:r>
            <w:r w:rsidR="002271E2" w:rsidRPr="002271E2">
              <w:rPr>
                <w:rFonts w:ascii="Cambria" w:hAnsi="Cambria" w:cstheme="minorHAnsi"/>
                <w:color w:val="000000" w:themeColor="text1"/>
                <w:sz w:val="22"/>
                <w:szCs w:val="22"/>
              </w:rPr>
              <w:t>policy,</w:t>
            </w:r>
            <w:r w:rsidRPr="002271E2">
              <w:rPr>
                <w:rFonts w:ascii="Cambria" w:hAnsi="Cambria" w:cstheme="minorHAnsi"/>
                <w:color w:val="000000" w:themeColor="text1"/>
                <w:sz w:val="22"/>
                <w:szCs w:val="22"/>
              </w:rPr>
              <w:t xml:space="preserve"> please contact the school Office</w:t>
            </w:r>
          </w:p>
        </w:tc>
      </w:tr>
      <w:tr w:rsidR="00472FB4" w14:paraId="360256A3" w14:textId="77777777" w:rsidTr="00BE737B">
        <w:tc>
          <w:tcPr>
            <w:tcW w:w="2123" w:type="dxa"/>
          </w:tcPr>
          <w:p w14:paraId="78554EF9" w14:textId="1CF57611" w:rsidR="00472FB4" w:rsidRPr="00074C50" w:rsidRDefault="00447855" w:rsidP="00472FB4">
            <w:pPr>
              <w:pStyle w:val="Title"/>
              <w:rPr>
                <w:rFonts w:ascii="Cambria" w:hAnsi="Cambria"/>
                <w:sz w:val="22"/>
                <w:szCs w:val="22"/>
              </w:rPr>
            </w:pPr>
            <w:r w:rsidRPr="00074C50">
              <w:rPr>
                <w:rFonts w:ascii="Cambria" w:hAnsi="Cambria"/>
                <w:sz w:val="22"/>
                <w:szCs w:val="22"/>
              </w:rPr>
              <w:t>Background</w:t>
            </w:r>
          </w:p>
        </w:tc>
        <w:tc>
          <w:tcPr>
            <w:tcW w:w="7942" w:type="dxa"/>
          </w:tcPr>
          <w:p w14:paraId="1AD619ED" w14:textId="4B64C50A" w:rsidR="005274BC" w:rsidRPr="00074C50" w:rsidRDefault="005274BC" w:rsidP="00606B42">
            <w:pPr>
              <w:rPr>
                <w:rFonts w:ascii="Cambria" w:eastAsia="Arial" w:hAnsi="Cambria" w:cs="Calibri"/>
                <w:sz w:val="22"/>
                <w:szCs w:val="22"/>
              </w:rPr>
            </w:pPr>
            <w:r w:rsidRPr="00074C50">
              <w:rPr>
                <w:rFonts w:ascii="Cambria" w:eastAsia="Arial" w:hAnsi="Cambria" w:cs="Calibri"/>
                <w:sz w:val="22"/>
                <w:szCs w:val="22"/>
              </w:rPr>
              <w:t xml:space="preserve">Grovedale West Primary School is a local Victorian government school that provides specialised educational programs for deaf and hard of hearing students as part of a Deaf Facility. </w:t>
            </w:r>
          </w:p>
          <w:p w14:paraId="4A4E4114" w14:textId="77777777" w:rsidR="005274BC" w:rsidRPr="00074C50" w:rsidRDefault="005274BC" w:rsidP="00606B42">
            <w:pPr>
              <w:rPr>
                <w:rFonts w:ascii="Cambria" w:hAnsi="Cambria" w:cs="Calibri"/>
                <w:sz w:val="22"/>
                <w:szCs w:val="22"/>
              </w:rPr>
            </w:pPr>
          </w:p>
          <w:p w14:paraId="03D5E91F" w14:textId="7D7C2467" w:rsidR="005274BC" w:rsidRPr="00074C50" w:rsidRDefault="005274BC" w:rsidP="00606B42">
            <w:pPr>
              <w:rPr>
                <w:rFonts w:ascii="Cambria" w:eastAsia="Arial" w:hAnsi="Cambria" w:cs="Calibri"/>
                <w:sz w:val="22"/>
                <w:szCs w:val="22"/>
              </w:rPr>
            </w:pPr>
            <w:r w:rsidRPr="00074C50">
              <w:rPr>
                <w:rFonts w:ascii="Cambria" w:eastAsia="Arial" w:hAnsi="Cambria" w:cs="Calibri"/>
                <w:sz w:val="22"/>
                <w:szCs w:val="22"/>
              </w:rPr>
              <w:t xml:space="preserve">Grovedale West Primary School is a mainstream primary school hosting the Grovedale P-12 Deaf Facility catering for Deaf students from across the Geelong Region from Foundation to Year 12. The centre enables the students to access a mainstream education with the support of highly skilled Teachers of the Deaf and </w:t>
            </w:r>
            <w:proofErr w:type="spellStart"/>
            <w:r w:rsidRPr="00074C50">
              <w:rPr>
                <w:rFonts w:ascii="Cambria" w:eastAsia="Arial" w:hAnsi="Cambria" w:cs="Calibri"/>
                <w:sz w:val="22"/>
                <w:szCs w:val="22"/>
              </w:rPr>
              <w:t>Auslan</w:t>
            </w:r>
            <w:proofErr w:type="spellEnd"/>
            <w:r w:rsidRPr="00074C50">
              <w:rPr>
                <w:rFonts w:ascii="Cambria" w:eastAsia="Arial" w:hAnsi="Cambria" w:cs="Calibri"/>
                <w:sz w:val="22"/>
                <w:szCs w:val="22"/>
              </w:rPr>
              <w:t xml:space="preserve"> Communication Aides supporting them in the classroom.</w:t>
            </w:r>
          </w:p>
          <w:p w14:paraId="345B8F64" w14:textId="77777777" w:rsidR="005274BC" w:rsidRPr="00074C50" w:rsidRDefault="005274BC" w:rsidP="00606B42">
            <w:pPr>
              <w:rPr>
                <w:rFonts w:ascii="Cambria" w:eastAsia="Arial" w:hAnsi="Cambria" w:cs="Calibri"/>
                <w:sz w:val="22"/>
                <w:szCs w:val="22"/>
              </w:rPr>
            </w:pPr>
          </w:p>
          <w:p w14:paraId="0C51FD54" w14:textId="77777777" w:rsidR="005274BC" w:rsidRPr="00074C50" w:rsidRDefault="005274BC" w:rsidP="00606B42">
            <w:pPr>
              <w:rPr>
                <w:rFonts w:ascii="Cambria" w:eastAsia="Arial" w:hAnsi="Cambria" w:cs="Calibri"/>
                <w:sz w:val="22"/>
                <w:szCs w:val="22"/>
              </w:rPr>
            </w:pPr>
            <w:r w:rsidRPr="00074C50">
              <w:rPr>
                <w:rFonts w:ascii="Cambria" w:eastAsia="Arial" w:hAnsi="Cambria" w:cs="Calibri"/>
                <w:sz w:val="22"/>
                <w:szCs w:val="22"/>
              </w:rPr>
              <w:t>Deaf students are supported to learn in regular classes with hearing children of the same age. They participate in the full range of educational activities provided by the school assisted by Communication Aides, Teachers of the Deaf and other appropriate support staff if required.</w:t>
            </w:r>
          </w:p>
          <w:p w14:paraId="2D4F75B4" w14:textId="367E4FD4" w:rsidR="005274BC" w:rsidRPr="00074C50" w:rsidRDefault="005274BC" w:rsidP="00606B42">
            <w:pPr>
              <w:rPr>
                <w:rFonts w:ascii="Cambria" w:eastAsia="Arial" w:hAnsi="Cambria" w:cs="Calibri"/>
                <w:sz w:val="22"/>
                <w:szCs w:val="22"/>
              </w:rPr>
            </w:pPr>
            <w:r w:rsidRPr="00074C50">
              <w:rPr>
                <w:rFonts w:ascii="Cambria" w:hAnsi="Cambria"/>
                <w:sz w:val="22"/>
                <w:szCs w:val="22"/>
              </w:rPr>
              <w:br/>
            </w:r>
            <w:r w:rsidRPr="00074C50">
              <w:rPr>
                <w:rFonts w:ascii="Cambria" w:eastAsia="Arial" w:hAnsi="Cambria" w:cs="Calibri"/>
                <w:sz w:val="22"/>
                <w:szCs w:val="22"/>
              </w:rPr>
              <w:t xml:space="preserve">Sessions in the Deaf Learning Facility cater for students’ specific individual needs including auditory, language and speech programs. The students </w:t>
            </w:r>
            <w:proofErr w:type="gramStart"/>
            <w:r w:rsidRPr="00074C50">
              <w:rPr>
                <w:rFonts w:ascii="Cambria" w:eastAsia="Arial" w:hAnsi="Cambria" w:cs="Calibri"/>
                <w:sz w:val="22"/>
                <w:szCs w:val="22"/>
              </w:rPr>
              <w:t>have the opportunity to</w:t>
            </w:r>
            <w:proofErr w:type="gramEnd"/>
            <w:r w:rsidRPr="00074C50">
              <w:rPr>
                <w:rFonts w:ascii="Cambria" w:eastAsia="Arial" w:hAnsi="Cambria" w:cs="Calibri"/>
                <w:sz w:val="22"/>
                <w:szCs w:val="22"/>
              </w:rPr>
              <w:t xml:space="preserve"> learn in a mainstream environment as well as having the support of their specialist teachers.</w:t>
            </w:r>
          </w:p>
          <w:p w14:paraId="405D0AA0" w14:textId="29259053" w:rsidR="005274BC" w:rsidRPr="00074C50" w:rsidRDefault="005274BC" w:rsidP="00606B42">
            <w:pPr>
              <w:rPr>
                <w:rFonts w:ascii="Cambria" w:eastAsia="Arial" w:hAnsi="Cambria" w:cs="Calibri"/>
                <w:sz w:val="22"/>
                <w:szCs w:val="22"/>
              </w:rPr>
            </w:pPr>
            <w:r w:rsidRPr="00074C50">
              <w:rPr>
                <w:rFonts w:ascii="Cambria" w:hAnsi="Cambria"/>
                <w:sz w:val="22"/>
                <w:szCs w:val="22"/>
              </w:rPr>
              <w:br/>
            </w:r>
            <w:r w:rsidRPr="00074C50">
              <w:rPr>
                <w:rFonts w:ascii="Cambria" w:eastAsia="Arial" w:hAnsi="Cambria" w:cs="Calibri"/>
                <w:sz w:val="22"/>
                <w:szCs w:val="22"/>
              </w:rPr>
              <w:t xml:space="preserve">Students in the Grovedale P-12 Deaf Facility </w:t>
            </w:r>
            <w:proofErr w:type="gramStart"/>
            <w:r w:rsidRPr="00074C50">
              <w:rPr>
                <w:rFonts w:ascii="Cambria" w:eastAsia="Arial" w:hAnsi="Cambria" w:cs="Calibri"/>
                <w:sz w:val="22"/>
                <w:szCs w:val="22"/>
              </w:rPr>
              <w:t>have the opportunity to</w:t>
            </w:r>
            <w:proofErr w:type="gramEnd"/>
            <w:r w:rsidRPr="00074C50">
              <w:rPr>
                <w:rFonts w:ascii="Cambria" w:eastAsia="Arial" w:hAnsi="Cambria" w:cs="Calibri"/>
                <w:sz w:val="22"/>
                <w:szCs w:val="22"/>
              </w:rPr>
              <w:t xml:space="preserve"> build friendships with both hearing and deaf students. They are actively involved in all school activities as well as participating in other sporting and cultural activities with deaf students from other schools.</w:t>
            </w:r>
          </w:p>
          <w:p w14:paraId="1AE3F388" w14:textId="26C94E1C" w:rsidR="00F76C55" w:rsidRPr="00074C50" w:rsidRDefault="00F76C55" w:rsidP="00606B42">
            <w:pPr>
              <w:pStyle w:val="BodyText"/>
              <w:ind w:right="148"/>
              <w:jc w:val="both"/>
              <w:rPr>
                <w:rFonts w:ascii="Cambria" w:hAnsi="Cambria"/>
              </w:rPr>
            </w:pPr>
          </w:p>
        </w:tc>
      </w:tr>
      <w:tr w:rsidR="00447855" w14:paraId="30F08B20" w14:textId="77777777" w:rsidTr="00BE737B">
        <w:tc>
          <w:tcPr>
            <w:tcW w:w="2123" w:type="dxa"/>
          </w:tcPr>
          <w:p w14:paraId="5E1E70AE" w14:textId="4533ADBA" w:rsidR="00447855" w:rsidRPr="00074C50" w:rsidRDefault="00447855" w:rsidP="00472FB4">
            <w:pPr>
              <w:pStyle w:val="Title"/>
              <w:rPr>
                <w:rFonts w:ascii="Cambria" w:hAnsi="Cambria"/>
                <w:sz w:val="22"/>
                <w:szCs w:val="22"/>
              </w:rPr>
            </w:pPr>
            <w:r w:rsidRPr="00074C50">
              <w:rPr>
                <w:rFonts w:ascii="Cambria" w:hAnsi="Cambria"/>
                <w:sz w:val="22"/>
                <w:szCs w:val="22"/>
              </w:rPr>
              <w:t>Purpose</w:t>
            </w:r>
          </w:p>
        </w:tc>
        <w:tc>
          <w:tcPr>
            <w:tcW w:w="7942" w:type="dxa"/>
          </w:tcPr>
          <w:p w14:paraId="088AB83B" w14:textId="77777777" w:rsidR="00447855" w:rsidRDefault="005274BC" w:rsidP="00606B42">
            <w:pPr>
              <w:pStyle w:val="BodyText"/>
              <w:ind w:right="550"/>
              <w:rPr>
                <w:rFonts w:ascii="Cambria" w:hAnsi="Cambria" w:cs="Calibri"/>
              </w:rPr>
            </w:pPr>
            <w:bookmarkStart w:id="0" w:name="_Hlk103087451"/>
            <w:r w:rsidRPr="00074C50">
              <w:rPr>
                <w:rFonts w:ascii="Cambria" w:hAnsi="Cambria" w:cs="Calibri"/>
              </w:rPr>
              <w:t>This policy specifies the enrolment criteria for students seeking enrolment at Grovedale West Primary School and the evidence required to support applications for enrolment.</w:t>
            </w:r>
            <w:bookmarkEnd w:id="0"/>
          </w:p>
          <w:p w14:paraId="50D5B0E8" w14:textId="3C6B5173" w:rsidR="00606B42" w:rsidRPr="00074C50" w:rsidRDefault="00606B42" w:rsidP="00606B42">
            <w:pPr>
              <w:pStyle w:val="BodyText"/>
              <w:ind w:right="550"/>
              <w:rPr>
                <w:rFonts w:ascii="Cambria" w:hAnsi="Cambria" w:cs="Calibri"/>
              </w:rPr>
            </w:pPr>
          </w:p>
        </w:tc>
      </w:tr>
      <w:tr w:rsidR="00447855" w14:paraId="7C85D771" w14:textId="77777777" w:rsidTr="00BE737B">
        <w:tc>
          <w:tcPr>
            <w:tcW w:w="2123" w:type="dxa"/>
          </w:tcPr>
          <w:p w14:paraId="4D88B218" w14:textId="4503C98C" w:rsidR="00447855" w:rsidRPr="00074C50" w:rsidRDefault="00447855" w:rsidP="00472FB4">
            <w:pPr>
              <w:pStyle w:val="Title"/>
              <w:rPr>
                <w:rFonts w:ascii="Cambria" w:hAnsi="Cambria"/>
                <w:sz w:val="22"/>
                <w:szCs w:val="22"/>
              </w:rPr>
            </w:pPr>
            <w:r w:rsidRPr="00074C50">
              <w:rPr>
                <w:rFonts w:ascii="Cambria" w:hAnsi="Cambria"/>
                <w:sz w:val="22"/>
                <w:szCs w:val="22"/>
              </w:rPr>
              <w:t xml:space="preserve">Scope </w:t>
            </w:r>
          </w:p>
        </w:tc>
        <w:tc>
          <w:tcPr>
            <w:tcW w:w="7942" w:type="dxa"/>
          </w:tcPr>
          <w:p w14:paraId="5449FF98" w14:textId="4F30F9AF" w:rsidR="005274BC" w:rsidRPr="00074C50" w:rsidRDefault="005274BC" w:rsidP="00606B42">
            <w:pPr>
              <w:rPr>
                <w:rFonts w:ascii="Cambria" w:eastAsia="Arial" w:hAnsi="Cambria" w:cs="Calibri"/>
                <w:sz w:val="22"/>
                <w:szCs w:val="22"/>
              </w:rPr>
            </w:pPr>
            <w:r w:rsidRPr="00074C50">
              <w:rPr>
                <w:rFonts w:ascii="Cambria" w:eastAsia="Arial" w:hAnsi="Cambria" w:cs="Calibri"/>
                <w:sz w:val="22"/>
                <w:szCs w:val="22"/>
              </w:rPr>
              <w:t>Grovedale West Primary School is</w:t>
            </w:r>
            <w:r w:rsidRPr="00074C50" w:rsidDel="009720A9">
              <w:rPr>
                <w:rFonts w:ascii="Cambria" w:eastAsia="Arial" w:hAnsi="Cambria" w:cs="Calibri"/>
                <w:sz w:val="22"/>
                <w:szCs w:val="22"/>
              </w:rPr>
              <w:t xml:space="preserve"> </w:t>
            </w:r>
            <w:r w:rsidRPr="00074C50">
              <w:rPr>
                <w:rFonts w:ascii="Cambria" w:eastAsia="Arial" w:hAnsi="Cambria" w:cs="Calibri"/>
                <w:sz w:val="22"/>
                <w:szCs w:val="22"/>
              </w:rPr>
              <w:t>a designated neighbourhood school with a designated neighbourhood zone (school zone). This policy applies to:</w:t>
            </w:r>
          </w:p>
          <w:p w14:paraId="35DF4CAD" w14:textId="77777777" w:rsidR="005274BC" w:rsidRPr="00074C50" w:rsidRDefault="005274BC" w:rsidP="00606B42">
            <w:pPr>
              <w:numPr>
                <w:ilvl w:val="0"/>
                <w:numId w:val="3"/>
              </w:numPr>
              <w:rPr>
                <w:rFonts w:ascii="Cambria" w:eastAsia="Arial" w:hAnsi="Cambria" w:cs="Calibri"/>
                <w:sz w:val="22"/>
                <w:szCs w:val="22"/>
              </w:rPr>
            </w:pPr>
            <w:bookmarkStart w:id="1" w:name="_Hlk46163989"/>
            <w:r w:rsidRPr="00074C50">
              <w:rPr>
                <w:rFonts w:ascii="Cambria" w:eastAsia="Arial" w:hAnsi="Cambria" w:cs="Calibri"/>
                <w:sz w:val="22"/>
                <w:szCs w:val="22"/>
              </w:rPr>
              <w:t xml:space="preserve">students seeking enrolment who live within or outside the school </w:t>
            </w:r>
            <w:bookmarkEnd w:id="1"/>
            <w:r w:rsidRPr="00074C50">
              <w:rPr>
                <w:rFonts w:ascii="Cambria" w:eastAsia="Arial" w:hAnsi="Cambria" w:cs="Calibri"/>
                <w:sz w:val="22"/>
                <w:szCs w:val="22"/>
              </w:rPr>
              <w:t>zone; and</w:t>
            </w:r>
          </w:p>
          <w:p w14:paraId="638863BC" w14:textId="77777777" w:rsidR="00447855" w:rsidRDefault="005274BC" w:rsidP="00606B42">
            <w:pPr>
              <w:numPr>
                <w:ilvl w:val="0"/>
                <w:numId w:val="3"/>
              </w:numPr>
              <w:rPr>
                <w:rFonts w:ascii="Cambria" w:eastAsia="Arial" w:hAnsi="Cambria" w:cs="Calibri"/>
                <w:sz w:val="22"/>
                <w:szCs w:val="22"/>
              </w:rPr>
            </w:pPr>
            <w:r w:rsidRPr="00074C50">
              <w:rPr>
                <w:rFonts w:ascii="Cambria" w:eastAsia="Arial" w:hAnsi="Cambria" w:cs="Calibri"/>
                <w:sz w:val="22"/>
                <w:szCs w:val="22"/>
              </w:rPr>
              <w:t>deaf and hard of hearing students who live outside the zone and seek priority enrolment under the specialist enrolment criteria.</w:t>
            </w:r>
          </w:p>
          <w:p w14:paraId="10252840" w14:textId="6EE0AD75" w:rsidR="00606B42" w:rsidRPr="00074C50" w:rsidRDefault="00606B42" w:rsidP="00606B42">
            <w:pPr>
              <w:ind w:left="360"/>
              <w:rPr>
                <w:rFonts w:ascii="Cambria" w:eastAsia="Arial" w:hAnsi="Cambria" w:cs="Calibri"/>
                <w:sz w:val="22"/>
                <w:szCs w:val="22"/>
              </w:rPr>
            </w:pPr>
          </w:p>
        </w:tc>
      </w:tr>
      <w:tr w:rsidR="00390DF9" w14:paraId="5C5CFC99" w14:textId="77777777" w:rsidTr="00BE737B">
        <w:tc>
          <w:tcPr>
            <w:tcW w:w="2123" w:type="dxa"/>
          </w:tcPr>
          <w:p w14:paraId="2A9A66C8" w14:textId="4D8DF79F" w:rsidR="00390DF9" w:rsidRPr="00074C50" w:rsidRDefault="00390DF9" w:rsidP="00472FB4">
            <w:pPr>
              <w:pStyle w:val="Title"/>
              <w:rPr>
                <w:rFonts w:ascii="Cambria" w:hAnsi="Cambria"/>
                <w:sz w:val="22"/>
                <w:szCs w:val="22"/>
              </w:rPr>
            </w:pPr>
            <w:r w:rsidRPr="00074C50">
              <w:rPr>
                <w:rFonts w:ascii="Cambria" w:hAnsi="Cambria"/>
                <w:sz w:val="22"/>
                <w:szCs w:val="22"/>
              </w:rPr>
              <w:t>Enrolment Criteria</w:t>
            </w:r>
            <w:r w:rsidR="005274BC" w:rsidRPr="00074C50">
              <w:rPr>
                <w:rFonts w:ascii="Cambria" w:hAnsi="Cambria"/>
                <w:sz w:val="22"/>
                <w:szCs w:val="22"/>
              </w:rPr>
              <w:t xml:space="preserve"> </w:t>
            </w:r>
            <w:r w:rsidR="00074C50" w:rsidRPr="00074C50">
              <w:rPr>
                <w:rFonts w:ascii="Cambria" w:eastAsia="Times New Roman" w:hAnsi="Cambria" w:cs="Calibri"/>
                <w:bCs/>
                <w:sz w:val="22"/>
                <w:szCs w:val="22"/>
              </w:rPr>
              <w:t>and priority order of placement</w:t>
            </w:r>
          </w:p>
        </w:tc>
        <w:tc>
          <w:tcPr>
            <w:tcW w:w="7942" w:type="dxa"/>
          </w:tcPr>
          <w:p w14:paraId="7824C393" w14:textId="77777777" w:rsidR="005274BC" w:rsidRPr="00074C50" w:rsidRDefault="005274BC" w:rsidP="00606B42">
            <w:pPr>
              <w:rPr>
                <w:rFonts w:ascii="Cambria" w:eastAsia="Arial" w:hAnsi="Cambria" w:cs="Calibri"/>
                <w:sz w:val="22"/>
                <w:szCs w:val="22"/>
              </w:rPr>
            </w:pPr>
            <w:r w:rsidRPr="00074C50">
              <w:rPr>
                <w:rFonts w:ascii="Cambria" w:eastAsia="Arial" w:hAnsi="Cambria" w:cs="Calibri"/>
                <w:sz w:val="22"/>
                <w:szCs w:val="22"/>
              </w:rPr>
              <w:t>School aged students who reside permanently within the school zone are guaranteed a place at Grovedale West Primary School.</w:t>
            </w:r>
          </w:p>
          <w:p w14:paraId="356FC534" w14:textId="47FAEBFE" w:rsidR="005274BC" w:rsidRDefault="005274BC" w:rsidP="00606B42">
            <w:pPr>
              <w:rPr>
                <w:rFonts w:ascii="Cambria" w:eastAsia="Arial" w:hAnsi="Cambria" w:cs="Calibri"/>
                <w:sz w:val="22"/>
                <w:szCs w:val="22"/>
              </w:rPr>
            </w:pPr>
            <w:r w:rsidRPr="00074C50">
              <w:rPr>
                <w:rFonts w:ascii="Cambria" w:eastAsia="Arial" w:hAnsi="Cambria" w:cs="Calibri"/>
                <w:sz w:val="22"/>
                <w:szCs w:val="22"/>
              </w:rPr>
              <w:t>Students may also apply for a place at Grovedale West Primary School if they live outside the school zone. These students should be enrolled if there is sufficient accommodation at the school, and if the request for enrolment aligns with the school's enrolment management implementation plan (if one is in place)</w:t>
            </w:r>
            <w:r w:rsidR="00606B42">
              <w:rPr>
                <w:rFonts w:ascii="Cambria" w:eastAsia="Arial" w:hAnsi="Cambria" w:cs="Calibri"/>
                <w:sz w:val="22"/>
                <w:szCs w:val="22"/>
              </w:rPr>
              <w:t>.</w:t>
            </w:r>
          </w:p>
          <w:p w14:paraId="256E9376" w14:textId="77777777" w:rsidR="00606B42" w:rsidRPr="00074C50" w:rsidRDefault="00606B42" w:rsidP="00606B42">
            <w:pPr>
              <w:rPr>
                <w:rFonts w:ascii="Cambria" w:eastAsia="Arial" w:hAnsi="Cambria" w:cs="Calibri"/>
                <w:sz w:val="22"/>
                <w:szCs w:val="22"/>
              </w:rPr>
            </w:pPr>
          </w:p>
          <w:p w14:paraId="623CF60A" w14:textId="77777777" w:rsidR="005274BC" w:rsidRPr="00074C50" w:rsidRDefault="005274BC" w:rsidP="00606B42">
            <w:pPr>
              <w:keepNext/>
              <w:keepLines/>
              <w:outlineLvl w:val="2"/>
              <w:rPr>
                <w:rFonts w:ascii="Cambria" w:eastAsia="Times New Roman" w:hAnsi="Cambria" w:cs="Calibri"/>
                <w:b/>
                <w:color w:val="5B9BD5" w:themeColor="accent1"/>
                <w:sz w:val="22"/>
                <w:szCs w:val="22"/>
              </w:rPr>
            </w:pPr>
            <w:r w:rsidRPr="00074C50">
              <w:rPr>
                <w:rFonts w:ascii="Cambria" w:eastAsia="Times New Roman" w:hAnsi="Cambria" w:cs="Calibri"/>
                <w:b/>
                <w:color w:val="5B9BD5" w:themeColor="accent1"/>
                <w:sz w:val="22"/>
                <w:szCs w:val="22"/>
              </w:rPr>
              <w:t>Priority order of placement</w:t>
            </w:r>
          </w:p>
          <w:p w14:paraId="57B7C5A2" w14:textId="77777777" w:rsidR="005274BC" w:rsidRPr="00074C50" w:rsidRDefault="005274BC" w:rsidP="00606B42">
            <w:pPr>
              <w:rPr>
                <w:rFonts w:ascii="Cambria" w:hAnsi="Cambria" w:cs="Calibri"/>
                <w:sz w:val="22"/>
                <w:szCs w:val="22"/>
              </w:rPr>
            </w:pPr>
            <w:r w:rsidRPr="00074C50">
              <w:rPr>
                <w:rFonts w:ascii="Cambria" w:eastAsia="Arial" w:hAnsi="Cambria" w:cs="Calibri"/>
                <w:sz w:val="22"/>
                <w:szCs w:val="22"/>
              </w:rPr>
              <w:t xml:space="preserve">If there is not sufficient accommodation to accept all applications from students living outside the zone, Grovedale West Primary School will prioritise applications </w:t>
            </w:r>
            <w:r w:rsidRPr="00074C50">
              <w:rPr>
                <w:rFonts w:ascii="Cambria" w:hAnsi="Cambria" w:cs="Calibri"/>
                <w:sz w:val="22"/>
                <w:szCs w:val="22"/>
              </w:rPr>
              <w:t xml:space="preserve">in line with their enrolment management implementation plan (if one is in place). In the absence of an enrolment management implementation plan, </w:t>
            </w:r>
            <w:r w:rsidRPr="00074C50">
              <w:rPr>
                <w:rFonts w:ascii="Cambria" w:eastAsia="Arial" w:hAnsi="Cambria" w:cs="Calibri"/>
                <w:sz w:val="22"/>
                <w:szCs w:val="22"/>
              </w:rPr>
              <w:t xml:space="preserve">Grovedale West Primary School </w:t>
            </w:r>
            <w:r w:rsidRPr="00074C50">
              <w:rPr>
                <w:rFonts w:ascii="Cambria" w:hAnsi="Cambria" w:cs="Calibri"/>
                <w:sz w:val="22"/>
                <w:szCs w:val="22"/>
              </w:rPr>
              <w:t>will manage enrolment applications in accordance with the following priority order of placement:</w:t>
            </w:r>
          </w:p>
          <w:p w14:paraId="4025B630" w14:textId="77777777" w:rsidR="005274BC" w:rsidRPr="00074C50" w:rsidRDefault="005274BC" w:rsidP="00606B42">
            <w:pPr>
              <w:numPr>
                <w:ilvl w:val="0"/>
                <w:numId w:val="4"/>
              </w:numPr>
              <w:rPr>
                <w:rFonts w:ascii="Cambria" w:eastAsia="Arial" w:hAnsi="Cambria" w:cs="Calibri"/>
                <w:sz w:val="22"/>
                <w:szCs w:val="22"/>
              </w:rPr>
            </w:pPr>
            <w:r w:rsidRPr="00074C50">
              <w:rPr>
                <w:rFonts w:ascii="Cambria" w:eastAsia="Arial" w:hAnsi="Cambria" w:cs="Calibri"/>
                <w:sz w:val="22"/>
                <w:szCs w:val="22"/>
              </w:rPr>
              <w:t>Students with a sibling at the same permanent address who are attending the school at the same time.</w:t>
            </w:r>
          </w:p>
          <w:p w14:paraId="01CB1D38" w14:textId="77777777" w:rsidR="005274BC" w:rsidRPr="00074C50" w:rsidRDefault="005274BC" w:rsidP="00606B42">
            <w:pPr>
              <w:numPr>
                <w:ilvl w:val="0"/>
                <w:numId w:val="4"/>
              </w:numPr>
              <w:rPr>
                <w:rFonts w:ascii="Cambria" w:eastAsia="Arial" w:hAnsi="Cambria" w:cs="Calibri"/>
                <w:sz w:val="22"/>
                <w:szCs w:val="22"/>
              </w:rPr>
            </w:pPr>
            <w:r w:rsidRPr="00074C50">
              <w:rPr>
                <w:rFonts w:ascii="Cambria" w:eastAsia="Arial" w:hAnsi="Cambria" w:cs="Calibri"/>
                <w:sz w:val="22"/>
                <w:szCs w:val="22"/>
              </w:rPr>
              <w:t>Students who meet the specialist enrolment criteria outlined below.</w:t>
            </w:r>
          </w:p>
          <w:p w14:paraId="682C8F49" w14:textId="77777777" w:rsidR="005274BC" w:rsidRPr="00074C50" w:rsidRDefault="005274BC" w:rsidP="00606B42">
            <w:pPr>
              <w:numPr>
                <w:ilvl w:val="0"/>
                <w:numId w:val="4"/>
              </w:numPr>
              <w:rPr>
                <w:rFonts w:ascii="Cambria" w:eastAsia="Arial" w:hAnsi="Cambria" w:cs="Calibri"/>
                <w:sz w:val="22"/>
                <w:szCs w:val="22"/>
              </w:rPr>
            </w:pPr>
            <w:r w:rsidRPr="00074C50">
              <w:rPr>
                <w:rFonts w:ascii="Cambria" w:eastAsia="Arial" w:hAnsi="Cambria" w:cs="Calibri"/>
                <w:sz w:val="22"/>
                <w:szCs w:val="22"/>
              </w:rPr>
              <w:t>All other students in order of closeness of their home to the school.</w:t>
            </w:r>
          </w:p>
          <w:p w14:paraId="1081C83B" w14:textId="77777777" w:rsidR="005274BC" w:rsidRPr="00074C50" w:rsidRDefault="005274BC" w:rsidP="00606B42">
            <w:pPr>
              <w:rPr>
                <w:rFonts w:ascii="Cambria" w:eastAsia="Arial" w:hAnsi="Cambria" w:cs="Calibri"/>
                <w:sz w:val="22"/>
                <w:szCs w:val="22"/>
              </w:rPr>
            </w:pPr>
            <w:r w:rsidRPr="00074C50">
              <w:rPr>
                <w:rFonts w:ascii="Cambria" w:eastAsia="Arial" w:hAnsi="Cambria" w:cs="Calibri"/>
                <w:sz w:val="22"/>
                <w:szCs w:val="22"/>
              </w:rPr>
              <w:t>If there is not sufficient accommodation to accept all applications from students who meet the specialist enrolment criteria (once in-zone enrolments and out-of-zone sibling enrolments have been confirmed), these applications will be prioritised in order of closeness of their home to the school.</w:t>
            </w:r>
          </w:p>
          <w:p w14:paraId="2C0AC964" w14:textId="77777777" w:rsidR="00606B42" w:rsidRDefault="00606B42" w:rsidP="00606B42">
            <w:pPr>
              <w:rPr>
                <w:rFonts w:ascii="Cambria" w:eastAsia="Times New Roman" w:hAnsi="Cambria" w:cs="Calibri"/>
                <w:b/>
                <w:color w:val="5B9BD5" w:themeColor="accent1"/>
                <w:sz w:val="22"/>
                <w:szCs w:val="22"/>
              </w:rPr>
            </w:pPr>
          </w:p>
          <w:p w14:paraId="7A1E1FB8" w14:textId="1E1BD017" w:rsidR="005274BC" w:rsidRPr="00074C50" w:rsidRDefault="005274BC" w:rsidP="00606B42">
            <w:pPr>
              <w:rPr>
                <w:rFonts w:ascii="Cambria" w:eastAsia="Times New Roman" w:hAnsi="Cambria" w:cs="Calibri"/>
                <w:b/>
                <w:color w:val="5B9BD5" w:themeColor="accent1"/>
                <w:sz w:val="22"/>
                <w:szCs w:val="22"/>
              </w:rPr>
            </w:pPr>
            <w:r w:rsidRPr="00074C50">
              <w:rPr>
                <w:rFonts w:ascii="Cambria" w:eastAsia="Times New Roman" w:hAnsi="Cambria" w:cs="Calibri"/>
                <w:b/>
                <w:color w:val="5B9BD5" w:themeColor="accent1"/>
                <w:sz w:val="22"/>
                <w:szCs w:val="22"/>
              </w:rPr>
              <w:t>Specialist enrolment criteria</w:t>
            </w:r>
          </w:p>
          <w:p w14:paraId="70B3DC91" w14:textId="77777777" w:rsidR="005274BC" w:rsidRPr="00074C50" w:rsidRDefault="005274BC" w:rsidP="00606B42">
            <w:pPr>
              <w:rPr>
                <w:rFonts w:ascii="Cambria" w:eastAsia="Arial" w:hAnsi="Cambria" w:cs="Calibri"/>
                <w:sz w:val="22"/>
                <w:szCs w:val="22"/>
              </w:rPr>
            </w:pPr>
            <w:r w:rsidRPr="00074C50">
              <w:rPr>
                <w:rFonts w:ascii="Cambria" w:eastAsia="Arial" w:hAnsi="Cambria" w:cs="Calibri"/>
                <w:sz w:val="22"/>
                <w:szCs w:val="22"/>
              </w:rPr>
              <w:t xml:space="preserve">The following specialist enrolment criteria have been specified and approved by the Deputy Secretary, Schools and Regional Services (as the Minister’s delegate), under section 2.2.16(b) of the </w:t>
            </w:r>
            <w:r w:rsidRPr="00074C50">
              <w:rPr>
                <w:rFonts w:ascii="Cambria" w:eastAsia="Arial" w:hAnsi="Cambria" w:cs="Calibri"/>
                <w:i/>
                <w:iCs/>
                <w:sz w:val="22"/>
                <w:szCs w:val="22"/>
              </w:rPr>
              <w:t>Education and Training Reform Act 2006</w:t>
            </w:r>
            <w:r w:rsidRPr="00074C50">
              <w:rPr>
                <w:rFonts w:ascii="Cambria" w:eastAsia="Arial" w:hAnsi="Cambria" w:cs="Calibri"/>
                <w:sz w:val="22"/>
                <w:szCs w:val="22"/>
              </w:rPr>
              <w:t xml:space="preserve"> (Vic). </w:t>
            </w:r>
          </w:p>
          <w:p w14:paraId="3F2187DC" w14:textId="77777777" w:rsidR="005274BC" w:rsidRPr="00074C50" w:rsidRDefault="005274BC" w:rsidP="00606B42">
            <w:pPr>
              <w:rPr>
                <w:rFonts w:ascii="Cambria" w:eastAsia="Arial" w:hAnsi="Cambria" w:cs="Calibri"/>
                <w:sz w:val="22"/>
                <w:szCs w:val="22"/>
              </w:rPr>
            </w:pPr>
            <w:r w:rsidRPr="00074C50">
              <w:rPr>
                <w:rFonts w:ascii="Cambria" w:eastAsia="Arial" w:hAnsi="Cambria" w:cs="Calibri"/>
                <w:sz w:val="22"/>
                <w:szCs w:val="22"/>
              </w:rPr>
              <w:t>Students seeking priority enrolment under the specialist enrolment criteria must have:</w:t>
            </w:r>
          </w:p>
          <w:p w14:paraId="0465CD08" w14:textId="52CA9D39" w:rsidR="005274BC" w:rsidRPr="00074C50" w:rsidRDefault="005274BC" w:rsidP="00606B42">
            <w:pPr>
              <w:pStyle w:val="ListParagraph"/>
              <w:numPr>
                <w:ilvl w:val="0"/>
                <w:numId w:val="5"/>
              </w:numPr>
              <w:ind w:left="469" w:hanging="283"/>
              <w:jc w:val="both"/>
              <w:rPr>
                <w:rFonts w:cs="Calibri"/>
                <w:color w:val="262626"/>
                <w:sz w:val="22"/>
                <w:szCs w:val="22"/>
              </w:rPr>
            </w:pPr>
            <w:r w:rsidRPr="00074C50">
              <w:rPr>
                <w:rFonts w:cs="Calibri"/>
                <w:color w:val="262626"/>
                <w:sz w:val="22"/>
                <w:szCs w:val="22"/>
              </w:rPr>
              <w:t xml:space="preserve">A bilateral </w:t>
            </w:r>
            <w:proofErr w:type="spellStart"/>
            <w:r w:rsidRPr="00074C50">
              <w:rPr>
                <w:rFonts w:cs="Calibri"/>
                <w:color w:val="262626"/>
                <w:sz w:val="22"/>
                <w:szCs w:val="22"/>
              </w:rPr>
              <w:t>sensori</w:t>
            </w:r>
            <w:proofErr w:type="spellEnd"/>
            <w:r w:rsidRPr="00074C50">
              <w:rPr>
                <w:rFonts w:cs="Calibri"/>
                <w:color w:val="262626"/>
                <w:sz w:val="22"/>
                <w:szCs w:val="22"/>
              </w:rPr>
              <w:t>-neural hearing loss that is moderate/severe/profound</w:t>
            </w:r>
          </w:p>
          <w:p w14:paraId="507751AB" w14:textId="77777777" w:rsidR="005274BC" w:rsidRPr="00074C50" w:rsidRDefault="005274BC" w:rsidP="00606B42">
            <w:pPr>
              <w:ind w:left="469" w:hanging="283"/>
              <w:jc w:val="both"/>
              <w:rPr>
                <w:rFonts w:ascii="Cambria" w:hAnsi="Cambria" w:cs="Calibri"/>
                <w:i/>
                <w:iCs/>
                <w:color w:val="262626"/>
                <w:sz w:val="22"/>
                <w:szCs w:val="22"/>
              </w:rPr>
            </w:pPr>
            <w:r w:rsidRPr="00074C50">
              <w:rPr>
                <w:rFonts w:ascii="Cambria" w:hAnsi="Cambria" w:cs="Calibri"/>
                <w:i/>
                <w:iCs/>
                <w:color w:val="262626"/>
                <w:sz w:val="22"/>
                <w:szCs w:val="22"/>
              </w:rPr>
              <w:t>and</w:t>
            </w:r>
          </w:p>
          <w:p w14:paraId="0C84FBF2" w14:textId="7BFE2676" w:rsidR="005274BC" w:rsidRPr="00074C50" w:rsidRDefault="005274BC" w:rsidP="00606B42">
            <w:pPr>
              <w:pStyle w:val="ListParagraph"/>
              <w:numPr>
                <w:ilvl w:val="0"/>
                <w:numId w:val="5"/>
              </w:numPr>
              <w:ind w:left="469" w:hanging="283"/>
              <w:jc w:val="both"/>
              <w:rPr>
                <w:rFonts w:cs="Calibri"/>
                <w:color w:val="262626"/>
                <w:sz w:val="22"/>
                <w:szCs w:val="22"/>
              </w:rPr>
            </w:pPr>
            <w:r w:rsidRPr="00074C50">
              <w:rPr>
                <w:rFonts w:cs="Calibri"/>
                <w:color w:val="262626"/>
                <w:sz w:val="22"/>
                <w:szCs w:val="22"/>
              </w:rPr>
              <w:t>The student requires intervention or assistance to communicate.</w:t>
            </w:r>
          </w:p>
          <w:p w14:paraId="13308794" w14:textId="77777777" w:rsidR="00606B42" w:rsidRDefault="00606B42" w:rsidP="00606B42">
            <w:pPr>
              <w:keepNext/>
              <w:keepLines/>
              <w:outlineLvl w:val="1"/>
              <w:rPr>
                <w:rFonts w:ascii="Cambria" w:eastAsia="Times New Roman" w:hAnsi="Cambria" w:cs="Calibri"/>
                <w:b/>
                <w:color w:val="5B9BD5" w:themeColor="accent1"/>
                <w:sz w:val="22"/>
                <w:szCs w:val="22"/>
              </w:rPr>
            </w:pPr>
          </w:p>
          <w:p w14:paraId="47BB9039" w14:textId="34DCBC4C" w:rsidR="005274BC" w:rsidRPr="00074C50" w:rsidRDefault="005274BC" w:rsidP="00606B42">
            <w:pPr>
              <w:keepNext/>
              <w:keepLines/>
              <w:outlineLvl w:val="1"/>
              <w:rPr>
                <w:rFonts w:ascii="Cambria" w:eastAsia="Times New Roman" w:hAnsi="Cambria" w:cs="Calibri"/>
                <w:b/>
                <w:caps/>
                <w:color w:val="5B9BD5" w:themeColor="accent1"/>
                <w:sz w:val="22"/>
                <w:szCs w:val="22"/>
              </w:rPr>
            </w:pPr>
            <w:r w:rsidRPr="00074C50">
              <w:rPr>
                <w:rFonts w:ascii="Cambria" w:eastAsia="Times New Roman" w:hAnsi="Cambria" w:cs="Calibri"/>
                <w:b/>
                <w:color w:val="5B9BD5" w:themeColor="accent1"/>
                <w:sz w:val="22"/>
                <w:szCs w:val="22"/>
              </w:rPr>
              <w:t>Evidence and supporting information requirements for the specialist enrolment criteria</w:t>
            </w:r>
          </w:p>
          <w:p w14:paraId="0198AE7B" w14:textId="77777777" w:rsidR="005274BC" w:rsidRPr="00074C50" w:rsidRDefault="005274BC" w:rsidP="00606B42">
            <w:pPr>
              <w:pStyle w:val="pf0"/>
              <w:spacing w:before="0" w:beforeAutospacing="0" w:after="0" w:afterAutospacing="0"/>
              <w:rPr>
                <w:rStyle w:val="cf01"/>
                <w:rFonts w:ascii="Cambria" w:eastAsiaTheme="majorEastAsia" w:hAnsi="Cambria" w:cs="Calibri"/>
                <w:sz w:val="22"/>
                <w:szCs w:val="22"/>
              </w:rPr>
            </w:pPr>
            <w:r w:rsidRPr="00074C50">
              <w:rPr>
                <w:rFonts w:ascii="Cambria" w:hAnsi="Cambria" w:cs="Calibri"/>
                <w:sz w:val="22"/>
                <w:szCs w:val="22"/>
              </w:rPr>
              <w:t>To support a student’s application for enrolment, the following evidence and supporting information must be provided:</w:t>
            </w:r>
          </w:p>
          <w:p w14:paraId="435707E6" w14:textId="77777777" w:rsidR="00606B42" w:rsidRDefault="00606B42" w:rsidP="00606B42">
            <w:pPr>
              <w:widowControl w:val="0"/>
              <w:tabs>
                <w:tab w:val="left" w:pos="993"/>
              </w:tabs>
              <w:autoSpaceDE w:val="0"/>
              <w:autoSpaceDN w:val="0"/>
              <w:jc w:val="both"/>
              <w:rPr>
                <w:rFonts w:ascii="Cambria" w:hAnsi="Cambria" w:cs="Calibri"/>
                <w:b/>
                <w:bCs/>
                <w:color w:val="262626"/>
                <w:sz w:val="22"/>
                <w:szCs w:val="22"/>
              </w:rPr>
            </w:pPr>
          </w:p>
          <w:p w14:paraId="596A6678" w14:textId="47CDF5AF" w:rsidR="005274BC" w:rsidRPr="00074C50" w:rsidRDefault="005274BC" w:rsidP="00606B42">
            <w:pPr>
              <w:widowControl w:val="0"/>
              <w:tabs>
                <w:tab w:val="left" w:pos="993"/>
              </w:tabs>
              <w:autoSpaceDE w:val="0"/>
              <w:autoSpaceDN w:val="0"/>
              <w:jc w:val="both"/>
              <w:rPr>
                <w:rFonts w:ascii="Cambria" w:hAnsi="Cambria" w:cs="Calibri"/>
                <w:b/>
                <w:bCs/>
                <w:color w:val="262626"/>
                <w:sz w:val="22"/>
                <w:szCs w:val="22"/>
              </w:rPr>
            </w:pPr>
            <w:r w:rsidRPr="00074C50">
              <w:rPr>
                <w:rFonts w:ascii="Cambria" w:hAnsi="Cambria" w:cs="Calibri"/>
                <w:b/>
                <w:bCs/>
                <w:color w:val="262626"/>
                <w:sz w:val="22"/>
                <w:szCs w:val="22"/>
              </w:rPr>
              <w:t xml:space="preserve">Criterion 1 - A bilateral </w:t>
            </w:r>
            <w:proofErr w:type="spellStart"/>
            <w:r w:rsidRPr="00074C50">
              <w:rPr>
                <w:rFonts w:ascii="Cambria" w:hAnsi="Cambria" w:cs="Calibri"/>
                <w:b/>
                <w:bCs/>
                <w:color w:val="262626"/>
                <w:sz w:val="22"/>
                <w:szCs w:val="22"/>
              </w:rPr>
              <w:t>sensori</w:t>
            </w:r>
            <w:proofErr w:type="spellEnd"/>
            <w:r w:rsidRPr="00074C50">
              <w:rPr>
                <w:rFonts w:ascii="Cambria" w:hAnsi="Cambria" w:cs="Calibri"/>
                <w:b/>
                <w:bCs/>
                <w:color w:val="262626"/>
                <w:sz w:val="22"/>
                <w:szCs w:val="22"/>
              </w:rPr>
              <w:t>-neural hearing loss that is moderate/severe/profound.</w:t>
            </w:r>
          </w:p>
          <w:p w14:paraId="61E9F5DD" w14:textId="77777777" w:rsidR="005274BC" w:rsidRPr="00074C50" w:rsidRDefault="005274BC" w:rsidP="00606B42">
            <w:pPr>
              <w:pStyle w:val="ListParagraph"/>
              <w:widowControl w:val="0"/>
              <w:numPr>
                <w:ilvl w:val="0"/>
                <w:numId w:val="6"/>
              </w:numPr>
              <w:tabs>
                <w:tab w:val="left" w:pos="993"/>
              </w:tabs>
              <w:autoSpaceDE w:val="0"/>
              <w:autoSpaceDN w:val="0"/>
              <w:ind w:left="469" w:hanging="283"/>
              <w:jc w:val="both"/>
              <w:rPr>
                <w:rFonts w:cs="Calibri"/>
                <w:color w:val="262626"/>
                <w:sz w:val="22"/>
                <w:szCs w:val="22"/>
              </w:rPr>
            </w:pPr>
            <w:r w:rsidRPr="00074C50">
              <w:rPr>
                <w:rFonts w:cs="Calibri"/>
                <w:color w:val="262626"/>
                <w:sz w:val="22"/>
                <w:szCs w:val="22"/>
              </w:rPr>
              <w:t>A current signed audiogram and written statement describing the type of hearing loss from a qualified audiologist (dated within the past 12 months).</w:t>
            </w:r>
          </w:p>
          <w:p w14:paraId="678A16A5" w14:textId="77777777" w:rsidR="005274BC" w:rsidRPr="00074C50" w:rsidRDefault="005274BC" w:rsidP="00606B42">
            <w:pPr>
              <w:pStyle w:val="ListParagraph"/>
              <w:widowControl w:val="0"/>
              <w:tabs>
                <w:tab w:val="left" w:pos="993"/>
              </w:tabs>
              <w:autoSpaceDE w:val="0"/>
              <w:autoSpaceDN w:val="0"/>
              <w:ind w:left="1212"/>
              <w:jc w:val="both"/>
              <w:rPr>
                <w:rFonts w:cs="Calibri"/>
                <w:color w:val="262626"/>
                <w:sz w:val="22"/>
                <w:szCs w:val="22"/>
              </w:rPr>
            </w:pPr>
            <w:r w:rsidRPr="00074C50">
              <w:rPr>
                <w:rFonts w:cs="Calibri"/>
                <w:color w:val="262626"/>
                <w:sz w:val="22"/>
                <w:szCs w:val="22"/>
              </w:rPr>
              <w:t>OR</w:t>
            </w:r>
          </w:p>
          <w:p w14:paraId="37939F58" w14:textId="77777777" w:rsidR="005274BC" w:rsidRPr="00074C50" w:rsidRDefault="005274BC" w:rsidP="00606B42">
            <w:pPr>
              <w:pStyle w:val="ListParagraph"/>
              <w:widowControl w:val="0"/>
              <w:numPr>
                <w:ilvl w:val="0"/>
                <w:numId w:val="6"/>
              </w:numPr>
              <w:tabs>
                <w:tab w:val="left" w:pos="993"/>
              </w:tabs>
              <w:autoSpaceDE w:val="0"/>
              <w:autoSpaceDN w:val="0"/>
              <w:ind w:left="469" w:hanging="283"/>
              <w:jc w:val="both"/>
              <w:rPr>
                <w:rFonts w:cs="Calibri"/>
                <w:color w:val="262626"/>
                <w:sz w:val="22"/>
                <w:szCs w:val="22"/>
              </w:rPr>
            </w:pPr>
            <w:r w:rsidRPr="00074C50">
              <w:rPr>
                <w:rFonts w:cs="Calibri"/>
                <w:color w:val="262626"/>
                <w:sz w:val="22"/>
                <w:szCs w:val="22"/>
              </w:rPr>
              <w:t>A signed statement from an audiologist or professional from a cochlear implant clinic confirming the student has cochlear implant/s (no timeframe requirements).</w:t>
            </w:r>
          </w:p>
          <w:p w14:paraId="3554BFEC" w14:textId="77777777" w:rsidR="005274BC" w:rsidRPr="00074C50" w:rsidRDefault="005274BC" w:rsidP="00606B42">
            <w:pPr>
              <w:widowControl w:val="0"/>
              <w:tabs>
                <w:tab w:val="left" w:pos="993"/>
              </w:tabs>
              <w:autoSpaceDE w:val="0"/>
              <w:autoSpaceDN w:val="0"/>
              <w:jc w:val="both"/>
              <w:rPr>
                <w:rFonts w:ascii="Cambria" w:hAnsi="Cambria" w:cs="Calibri"/>
                <w:color w:val="262626"/>
                <w:sz w:val="22"/>
                <w:szCs w:val="22"/>
              </w:rPr>
            </w:pPr>
            <w:r w:rsidRPr="00074C50">
              <w:rPr>
                <w:rFonts w:ascii="Cambria" w:hAnsi="Cambria" w:cs="Calibri"/>
                <w:color w:val="262626"/>
                <w:sz w:val="22"/>
                <w:szCs w:val="22"/>
              </w:rPr>
              <w:t xml:space="preserve">Nb. For students with a cochlear implant in one ear only, a signed audiogram and written statement describing the hearing loss from a qualified audiologist (dated within the past 12 months) is required to verify a moderate/severe/profound </w:t>
            </w:r>
            <w:proofErr w:type="spellStart"/>
            <w:r w:rsidRPr="00074C50">
              <w:rPr>
                <w:rFonts w:ascii="Cambria" w:hAnsi="Cambria" w:cs="Calibri"/>
                <w:color w:val="262626"/>
                <w:sz w:val="22"/>
                <w:szCs w:val="22"/>
              </w:rPr>
              <w:t>sensori</w:t>
            </w:r>
            <w:proofErr w:type="spellEnd"/>
            <w:r w:rsidRPr="00074C50">
              <w:rPr>
                <w:rFonts w:ascii="Cambria" w:hAnsi="Cambria" w:cs="Calibri"/>
                <w:color w:val="262626"/>
                <w:sz w:val="22"/>
                <w:szCs w:val="22"/>
              </w:rPr>
              <w:t xml:space="preserve">-neural hearing loss in the non-implanted ear. </w:t>
            </w:r>
          </w:p>
          <w:p w14:paraId="5C6CC25C" w14:textId="77777777" w:rsidR="00606B42" w:rsidRDefault="00606B42" w:rsidP="00606B42">
            <w:pPr>
              <w:widowControl w:val="0"/>
              <w:tabs>
                <w:tab w:val="left" w:pos="993"/>
              </w:tabs>
              <w:autoSpaceDE w:val="0"/>
              <w:autoSpaceDN w:val="0"/>
              <w:jc w:val="both"/>
              <w:rPr>
                <w:rFonts w:ascii="Cambria" w:hAnsi="Cambria" w:cs="Calibri"/>
                <w:b/>
                <w:bCs/>
                <w:color w:val="262626"/>
                <w:sz w:val="22"/>
                <w:szCs w:val="22"/>
              </w:rPr>
            </w:pPr>
          </w:p>
          <w:p w14:paraId="0F53891E" w14:textId="7CD6EDC6" w:rsidR="005274BC" w:rsidRPr="00074C50" w:rsidRDefault="005274BC" w:rsidP="00606B42">
            <w:pPr>
              <w:widowControl w:val="0"/>
              <w:tabs>
                <w:tab w:val="left" w:pos="993"/>
              </w:tabs>
              <w:autoSpaceDE w:val="0"/>
              <w:autoSpaceDN w:val="0"/>
              <w:jc w:val="both"/>
              <w:rPr>
                <w:rFonts w:ascii="Cambria" w:hAnsi="Cambria" w:cs="Calibri"/>
                <w:color w:val="262626"/>
                <w:sz w:val="22"/>
                <w:szCs w:val="22"/>
              </w:rPr>
            </w:pPr>
            <w:r w:rsidRPr="00074C50">
              <w:rPr>
                <w:rFonts w:ascii="Cambria" w:hAnsi="Cambria" w:cs="Calibri"/>
                <w:b/>
                <w:bCs/>
                <w:color w:val="262626"/>
                <w:sz w:val="22"/>
                <w:szCs w:val="22"/>
              </w:rPr>
              <w:t>Criterion 2 - The student requires intervention or assistance to communicate</w:t>
            </w:r>
            <w:r w:rsidRPr="00074C50">
              <w:rPr>
                <w:rFonts w:ascii="Cambria" w:hAnsi="Cambria" w:cs="Calibri"/>
                <w:color w:val="262626"/>
                <w:sz w:val="22"/>
                <w:szCs w:val="22"/>
              </w:rPr>
              <w:t>.</w:t>
            </w:r>
          </w:p>
          <w:p w14:paraId="12C00936" w14:textId="77777777" w:rsidR="005274BC" w:rsidRPr="00074C50" w:rsidRDefault="005274BC" w:rsidP="00606B42">
            <w:pPr>
              <w:pStyle w:val="ListParagraph"/>
              <w:widowControl w:val="0"/>
              <w:numPr>
                <w:ilvl w:val="0"/>
                <w:numId w:val="6"/>
              </w:numPr>
              <w:tabs>
                <w:tab w:val="left" w:pos="993"/>
              </w:tabs>
              <w:autoSpaceDE w:val="0"/>
              <w:autoSpaceDN w:val="0"/>
              <w:ind w:left="328" w:hanging="284"/>
              <w:jc w:val="both"/>
              <w:rPr>
                <w:rFonts w:cs="Calibri"/>
                <w:color w:val="262626"/>
                <w:sz w:val="22"/>
                <w:szCs w:val="22"/>
              </w:rPr>
            </w:pPr>
            <w:r w:rsidRPr="00074C50">
              <w:rPr>
                <w:rFonts w:cs="Calibri"/>
                <w:color w:val="262626"/>
                <w:sz w:val="22"/>
                <w:szCs w:val="22"/>
              </w:rPr>
              <w:t>Evidence from a relevant professional that the student requires intervention or assistance to communicate. </w:t>
            </w:r>
          </w:p>
          <w:p w14:paraId="22014B7D" w14:textId="77777777" w:rsidR="005274BC" w:rsidRPr="00074C50" w:rsidRDefault="005274BC" w:rsidP="00606B42">
            <w:pPr>
              <w:textAlignment w:val="baseline"/>
              <w:rPr>
                <w:rFonts w:ascii="Cambria" w:eastAsia="Times New Roman" w:hAnsi="Cambria" w:cs="Calibri"/>
                <w:sz w:val="22"/>
                <w:szCs w:val="22"/>
                <w:lang w:val="en-US" w:eastAsia="en-AU"/>
              </w:rPr>
            </w:pPr>
            <w:r w:rsidRPr="00074C50">
              <w:rPr>
                <w:rFonts w:ascii="Cambria" w:eastAsia="Times New Roman" w:hAnsi="Cambria" w:cs="Calibri"/>
                <w:sz w:val="22"/>
                <w:szCs w:val="22"/>
                <w:lang w:eastAsia="en-AU"/>
              </w:rPr>
              <w:t>The department’s regional offices play a role in helping schools with enrolment processes.</w:t>
            </w:r>
            <w:r w:rsidRPr="00074C50">
              <w:rPr>
                <w:rFonts w:ascii="Cambria" w:eastAsia="Times New Roman" w:hAnsi="Cambria" w:cs="Calibri"/>
                <w:sz w:val="22"/>
                <w:szCs w:val="22"/>
                <w:lang w:val="en-US" w:eastAsia="en-AU"/>
              </w:rPr>
              <w:t> </w:t>
            </w:r>
          </w:p>
          <w:p w14:paraId="02FBE05C" w14:textId="77777777" w:rsidR="00606B42" w:rsidRDefault="00606B42" w:rsidP="00606B42">
            <w:pPr>
              <w:ind w:right="163"/>
              <w:rPr>
                <w:rFonts w:ascii="Cambria" w:hAnsi="Cambria" w:cs="Calibri"/>
                <w:b/>
                <w:sz w:val="22"/>
                <w:szCs w:val="22"/>
              </w:rPr>
            </w:pPr>
          </w:p>
          <w:p w14:paraId="26B9BE72" w14:textId="53691FF5" w:rsidR="005274BC" w:rsidRPr="00074C50" w:rsidRDefault="005274BC" w:rsidP="00606B42">
            <w:pPr>
              <w:ind w:right="163"/>
              <w:rPr>
                <w:rFonts w:ascii="Cambria" w:eastAsia="Times New Roman" w:hAnsi="Cambria" w:cs="Calibri"/>
                <w:b/>
                <w:caps/>
                <w:color w:val="E57100"/>
                <w:sz w:val="22"/>
                <w:szCs w:val="22"/>
              </w:rPr>
            </w:pPr>
            <w:r w:rsidRPr="00074C50">
              <w:rPr>
                <w:rFonts w:ascii="Cambria" w:hAnsi="Cambria" w:cs="Calibri"/>
                <w:b/>
                <w:sz w:val="22"/>
                <w:szCs w:val="22"/>
              </w:rPr>
              <w:t>NOTE: Enrolment applications may not be successful if the requested documentation is not provided or is invalid.</w:t>
            </w:r>
          </w:p>
          <w:p w14:paraId="0065CC58" w14:textId="2717CD3B" w:rsidR="005274BC" w:rsidRPr="00074C50" w:rsidRDefault="005274BC" w:rsidP="00606B42">
            <w:pPr>
              <w:pStyle w:val="BodyText"/>
              <w:ind w:right="392"/>
              <w:jc w:val="both"/>
              <w:rPr>
                <w:rFonts w:ascii="Cambria" w:hAnsi="Cambria" w:cstheme="minorHAnsi"/>
              </w:rPr>
            </w:pPr>
          </w:p>
        </w:tc>
      </w:tr>
      <w:tr w:rsidR="00C82B1F" w14:paraId="403D7240" w14:textId="77777777" w:rsidTr="00BE737B">
        <w:tc>
          <w:tcPr>
            <w:tcW w:w="2123" w:type="dxa"/>
          </w:tcPr>
          <w:p w14:paraId="1CBA4032" w14:textId="0292903E" w:rsidR="00C82B1F" w:rsidRPr="00074C50" w:rsidRDefault="00C82B1F" w:rsidP="00472FB4">
            <w:pPr>
              <w:pStyle w:val="Title"/>
              <w:rPr>
                <w:rFonts w:ascii="Cambria" w:hAnsi="Cambria"/>
                <w:sz w:val="22"/>
                <w:szCs w:val="22"/>
              </w:rPr>
            </w:pPr>
            <w:r w:rsidRPr="00074C50">
              <w:rPr>
                <w:rFonts w:ascii="Cambria" w:hAnsi="Cambria"/>
                <w:sz w:val="22"/>
                <w:szCs w:val="22"/>
              </w:rPr>
              <w:t>Verification of Permanents Address</w:t>
            </w:r>
          </w:p>
        </w:tc>
        <w:tc>
          <w:tcPr>
            <w:tcW w:w="7942" w:type="dxa"/>
          </w:tcPr>
          <w:p w14:paraId="588E86AF" w14:textId="77777777" w:rsidR="005274BC" w:rsidRPr="00074C50" w:rsidRDefault="005274BC" w:rsidP="005274BC">
            <w:pPr>
              <w:pStyle w:val="BodyText"/>
              <w:spacing w:before="119"/>
              <w:ind w:right="601"/>
              <w:rPr>
                <w:rFonts w:ascii="Cambria" w:hAnsi="Cambria" w:cs="Calibri"/>
              </w:rPr>
            </w:pPr>
            <w:r w:rsidRPr="00074C50">
              <w:rPr>
                <w:rFonts w:ascii="Cambria" w:hAnsi="Cambria" w:cs="Calibri"/>
              </w:rPr>
              <w:t xml:space="preserve">When assessing enrolment applications under the priority order of placement, Grovedale West Primary School may ask for supporting documentation to assist them in verifying a student’s permanent address. For more information, see </w:t>
            </w:r>
            <w:hyperlink r:id="rId7" w:history="1">
              <w:r w:rsidRPr="00074C50">
                <w:rPr>
                  <w:rStyle w:val="Hyperlink"/>
                  <w:rFonts w:ascii="Cambria" w:hAnsi="Cambria" w:cs="Calibri"/>
                </w:rPr>
                <w:t>Determining permanent residence</w:t>
              </w:r>
            </w:hyperlink>
            <w:r w:rsidRPr="00074C50">
              <w:rPr>
                <w:rFonts w:ascii="Cambria" w:hAnsi="Cambria" w:cs="Calibri"/>
              </w:rPr>
              <w:t>.</w:t>
            </w:r>
          </w:p>
          <w:p w14:paraId="303D71A4" w14:textId="77777777" w:rsidR="00C82B1F" w:rsidRPr="00074C50" w:rsidRDefault="00C82B1F" w:rsidP="005274BC">
            <w:pPr>
              <w:pStyle w:val="BodyText"/>
              <w:spacing w:before="119"/>
              <w:ind w:right="726"/>
              <w:jc w:val="both"/>
              <w:rPr>
                <w:rFonts w:ascii="Cambria" w:hAnsi="Cambria" w:cstheme="minorHAnsi"/>
              </w:rPr>
            </w:pPr>
          </w:p>
        </w:tc>
      </w:tr>
      <w:tr w:rsidR="00C82B1F" w14:paraId="71146DF0" w14:textId="77777777" w:rsidTr="00BE737B">
        <w:tc>
          <w:tcPr>
            <w:tcW w:w="2123" w:type="dxa"/>
          </w:tcPr>
          <w:p w14:paraId="39CA4861" w14:textId="2C21EE46" w:rsidR="00C82B1F" w:rsidRPr="00074C50" w:rsidRDefault="00C82B1F" w:rsidP="00472FB4">
            <w:pPr>
              <w:pStyle w:val="Title"/>
              <w:rPr>
                <w:rFonts w:ascii="Cambria" w:hAnsi="Cambria"/>
                <w:sz w:val="22"/>
                <w:szCs w:val="22"/>
              </w:rPr>
            </w:pPr>
            <w:proofErr w:type="gramStart"/>
            <w:r w:rsidRPr="00074C50">
              <w:rPr>
                <w:rFonts w:ascii="Cambria" w:hAnsi="Cambria"/>
                <w:sz w:val="22"/>
                <w:szCs w:val="22"/>
              </w:rPr>
              <w:t>Enrolment  on</w:t>
            </w:r>
            <w:proofErr w:type="gramEnd"/>
            <w:r w:rsidRPr="00074C50">
              <w:rPr>
                <w:rFonts w:ascii="Cambria" w:hAnsi="Cambria"/>
                <w:sz w:val="22"/>
                <w:szCs w:val="22"/>
              </w:rPr>
              <w:t xml:space="preserve"> compassionate grounds</w:t>
            </w:r>
          </w:p>
        </w:tc>
        <w:tc>
          <w:tcPr>
            <w:tcW w:w="7942" w:type="dxa"/>
          </w:tcPr>
          <w:p w14:paraId="69991C7C" w14:textId="77777777" w:rsidR="005274BC" w:rsidRPr="00074C50" w:rsidRDefault="005274BC" w:rsidP="005274BC">
            <w:pPr>
              <w:keepNext/>
              <w:keepLines/>
              <w:spacing w:before="240" w:after="120"/>
              <w:outlineLvl w:val="1"/>
              <w:rPr>
                <w:rFonts w:ascii="Cambria" w:hAnsi="Cambria" w:cs="Calibri"/>
                <w:sz w:val="22"/>
                <w:szCs w:val="22"/>
              </w:rPr>
            </w:pPr>
            <w:r w:rsidRPr="00074C50">
              <w:rPr>
                <w:rFonts w:ascii="Cambria" w:hAnsi="Cambria" w:cs="Calibri"/>
                <w:sz w:val="22"/>
                <w:szCs w:val="22"/>
              </w:rPr>
              <w:t xml:space="preserve">In exceptional circumstances, a student may be enrolled on compassionate grounds. This is an overarching consideration and does not form part of the priority order of placement. Further information can be found at </w:t>
            </w:r>
            <w:hyperlink r:id="rId8" w:anchor="exceptional-circumstances-%E2%80%93-compassionate-grounds" w:history="1">
              <w:r w:rsidRPr="00074C50">
                <w:rPr>
                  <w:rStyle w:val="Hyperlink"/>
                  <w:rFonts w:ascii="Cambria" w:hAnsi="Cambria" w:cs="Calibri"/>
                  <w:sz w:val="22"/>
                  <w:szCs w:val="22"/>
                </w:rPr>
                <w:t>‘Exceptional circumstances – compassionate grounds’</w:t>
              </w:r>
            </w:hyperlink>
            <w:r w:rsidRPr="00074C50">
              <w:rPr>
                <w:rFonts w:ascii="Cambria" w:hAnsi="Cambria" w:cs="Calibri"/>
                <w:sz w:val="22"/>
                <w:szCs w:val="22"/>
              </w:rPr>
              <w:t>.</w:t>
            </w:r>
          </w:p>
          <w:p w14:paraId="204779B2" w14:textId="1CA463E5" w:rsidR="00C82B1F" w:rsidRPr="00074C50" w:rsidRDefault="00C82B1F" w:rsidP="00F231EF">
            <w:pPr>
              <w:spacing w:before="8"/>
              <w:jc w:val="both"/>
              <w:rPr>
                <w:rFonts w:ascii="Cambria" w:hAnsi="Cambria" w:cstheme="minorHAnsi"/>
                <w:sz w:val="22"/>
                <w:szCs w:val="22"/>
              </w:rPr>
            </w:pPr>
          </w:p>
        </w:tc>
      </w:tr>
      <w:tr w:rsidR="002271E2" w14:paraId="289856EB" w14:textId="77777777" w:rsidTr="00BE737B">
        <w:tc>
          <w:tcPr>
            <w:tcW w:w="2123" w:type="dxa"/>
          </w:tcPr>
          <w:p w14:paraId="00334431" w14:textId="10815FB8" w:rsidR="002271E2" w:rsidRPr="00074C50" w:rsidRDefault="002271E2" w:rsidP="00472FB4">
            <w:pPr>
              <w:pStyle w:val="Title"/>
              <w:rPr>
                <w:rFonts w:ascii="Cambria" w:hAnsi="Cambria"/>
                <w:sz w:val="22"/>
                <w:szCs w:val="22"/>
              </w:rPr>
            </w:pPr>
            <w:r w:rsidRPr="00074C50">
              <w:rPr>
                <w:rFonts w:ascii="Cambria" w:hAnsi="Cambria"/>
                <w:sz w:val="22"/>
                <w:szCs w:val="22"/>
              </w:rPr>
              <w:t>Appeal Process</w:t>
            </w:r>
          </w:p>
        </w:tc>
        <w:tc>
          <w:tcPr>
            <w:tcW w:w="7942" w:type="dxa"/>
          </w:tcPr>
          <w:p w14:paraId="72BDF6FB" w14:textId="77777777" w:rsidR="005274BC" w:rsidRPr="00074C50" w:rsidRDefault="005274BC" w:rsidP="005274BC">
            <w:pPr>
              <w:keepNext/>
              <w:keepLines/>
              <w:spacing w:before="240" w:after="120"/>
              <w:outlineLvl w:val="1"/>
              <w:rPr>
                <w:rFonts w:ascii="Cambria" w:eastAsia="Times New Roman" w:hAnsi="Cambria" w:cs="Calibri"/>
                <w:sz w:val="22"/>
                <w:szCs w:val="22"/>
                <w:lang w:eastAsia="en-AU"/>
              </w:rPr>
            </w:pPr>
            <w:r w:rsidRPr="00074C50">
              <w:rPr>
                <w:rFonts w:ascii="Cambria" w:eastAsia="Times New Roman" w:hAnsi="Cambria" w:cs="Calibri"/>
                <w:sz w:val="22"/>
                <w:szCs w:val="22"/>
                <w:lang w:eastAsia="en-AU"/>
              </w:rPr>
              <w:t>Parents or carers can appeal an enrolment decision by lodging a written appeal with the principal.</w:t>
            </w:r>
          </w:p>
          <w:p w14:paraId="7CB8F5B0" w14:textId="77777777" w:rsidR="005274BC" w:rsidRPr="00074C50" w:rsidRDefault="005274BC" w:rsidP="005274BC">
            <w:pPr>
              <w:keepNext/>
              <w:keepLines/>
              <w:spacing w:before="240" w:after="120"/>
              <w:outlineLvl w:val="1"/>
              <w:rPr>
                <w:rFonts w:ascii="Cambria" w:eastAsia="Times New Roman" w:hAnsi="Cambria" w:cs="Calibri"/>
                <w:sz w:val="22"/>
                <w:szCs w:val="22"/>
                <w:lang w:eastAsia="en-AU"/>
              </w:rPr>
            </w:pPr>
            <w:r w:rsidRPr="00074C50">
              <w:rPr>
                <w:rFonts w:ascii="Cambria" w:eastAsia="Times New Roman" w:hAnsi="Cambria" w:cs="Calibri"/>
                <w:sz w:val="22"/>
                <w:szCs w:val="22"/>
                <w:lang w:eastAsia="en-AU"/>
              </w:rPr>
              <w:t xml:space="preserve">If this appeal is unsuccessful and parents or carers are not satisfied that their appeal has been adequately considered, they may write to the </w:t>
            </w:r>
            <w:proofErr w:type="gramStart"/>
            <w:r w:rsidRPr="00074C50">
              <w:rPr>
                <w:rFonts w:ascii="Cambria" w:eastAsia="Times New Roman" w:hAnsi="Cambria" w:cs="Calibri"/>
                <w:sz w:val="22"/>
                <w:szCs w:val="22"/>
                <w:lang w:eastAsia="en-AU"/>
              </w:rPr>
              <w:t>South West</w:t>
            </w:r>
            <w:proofErr w:type="gramEnd"/>
            <w:r w:rsidRPr="00074C50">
              <w:rPr>
                <w:rFonts w:ascii="Cambria" w:eastAsia="Times New Roman" w:hAnsi="Cambria" w:cs="Calibri"/>
                <w:sz w:val="22"/>
                <w:szCs w:val="22"/>
                <w:lang w:eastAsia="en-AU"/>
              </w:rPr>
              <w:t xml:space="preserve"> Victora Regional Director. Further information on appeals can be found at </w:t>
            </w:r>
            <w:hyperlink r:id="rId9" w:history="1">
              <w:r w:rsidRPr="00074C50">
                <w:rPr>
                  <w:rStyle w:val="Hyperlink"/>
                  <w:rFonts w:ascii="Cambria" w:eastAsia="Times New Roman" w:hAnsi="Cambria" w:cs="Calibri"/>
                  <w:sz w:val="22"/>
                  <w:szCs w:val="22"/>
                  <w:lang w:eastAsia="en-AU"/>
                </w:rPr>
                <w:t>Appealing enrolment decisions</w:t>
              </w:r>
            </w:hyperlink>
            <w:r w:rsidRPr="00074C50">
              <w:rPr>
                <w:rFonts w:ascii="Cambria" w:eastAsia="Times New Roman" w:hAnsi="Cambria" w:cs="Calibri"/>
                <w:sz w:val="22"/>
                <w:szCs w:val="22"/>
                <w:lang w:eastAsia="en-AU"/>
              </w:rPr>
              <w:t>.</w:t>
            </w:r>
          </w:p>
          <w:p w14:paraId="49CBC02D" w14:textId="791A4FB0" w:rsidR="002271E2" w:rsidRPr="00074C50" w:rsidRDefault="002271E2" w:rsidP="002271E2">
            <w:pPr>
              <w:pStyle w:val="BodyText"/>
              <w:spacing w:before="4"/>
              <w:jc w:val="both"/>
              <w:rPr>
                <w:rFonts w:ascii="Cambria" w:hAnsi="Cambria" w:cstheme="minorHAnsi"/>
              </w:rPr>
            </w:pPr>
          </w:p>
        </w:tc>
      </w:tr>
      <w:tr w:rsidR="002271E2" w14:paraId="5A7CB13D" w14:textId="77777777" w:rsidTr="00BE737B">
        <w:tc>
          <w:tcPr>
            <w:tcW w:w="2123" w:type="dxa"/>
          </w:tcPr>
          <w:p w14:paraId="4C7E249A" w14:textId="0762DBB6" w:rsidR="002271E2" w:rsidRPr="00074C50" w:rsidRDefault="002271E2" w:rsidP="00472FB4">
            <w:pPr>
              <w:pStyle w:val="Title"/>
              <w:rPr>
                <w:rFonts w:ascii="Cambria" w:hAnsi="Cambria"/>
                <w:sz w:val="22"/>
                <w:szCs w:val="22"/>
              </w:rPr>
            </w:pPr>
            <w:r w:rsidRPr="00074C50">
              <w:rPr>
                <w:rFonts w:ascii="Cambria" w:hAnsi="Cambria"/>
                <w:sz w:val="22"/>
                <w:szCs w:val="22"/>
              </w:rPr>
              <w:t xml:space="preserve">Communications </w:t>
            </w:r>
          </w:p>
        </w:tc>
        <w:tc>
          <w:tcPr>
            <w:tcW w:w="7942" w:type="dxa"/>
          </w:tcPr>
          <w:p w14:paraId="17C3402D" w14:textId="2D0842E4" w:rsidR="002271E2" w:rsidRPr="00074C50" w:rsidRDefault="002271E2" w:rsidP="002271E2">
            <w:pPr>
              <w:pStyle w:val="BodyText"/>
              <w:spacing w:before="121"/>
              <w:ind w:right="967"/>
              <w:jc w:val="both"/>
              <w:rPr>
                <w:rFonts w:ascii="Cambria" w:hAnsi="Cambria" w:cstheme="minorHAnsi"/>
              </w:rPr>
            </w:pPr>
            <w:r w:rsidRPr="00074C50">
              <w:rPr>
                <w:rFonts w:ascii="Cambria" w:hAnsi="Cambria" w:cstheme="minorHAnsi"/>
              </w:rPr>
              <w:t xml:space="preserve">The </w:t>
            </w:r>
            <w:r w:rsidRPr="00074C50">
              <w:rPr>
                <w:rFonts w:ascii="Cambria" w:hAnsi="Cambria" w:cstheme="minorHAnsi"/>
                <w:color w:val="000000"/>
              </w:rPr>
              <w:t xml:space="preserve">Grovedale Deaf Facility </w:t>
            </w:r>
            <w:r w:rsidRPr="00074C50">
              <w:rPr>
                <w:rFonts w:ascii="Cambria" w:hAnsi="Cambria" w:cstheme="minorHAnsi"/>
              </w:rPr>
              <w:t>enrolment policy will be made available to the school community on the school’s website.</w:t>
            </w:r>
          </w:p>
          <w:p w14:paraId="1E4F1245" w14:textId="77777777" w:rsidR="002271E2" w:rsidRPr="00074C50" w:rsidRDefault="002271E2" w:rsidP="002271E2">
            <w:pPr>
              <w:pStyle w:val="BodyText"/>
              <w:spacing w:before="4"/>
              <w:jc w:val="both"/>
              <w:rPr>
                <w:rFonts w:ascii="Cambria" w:eastAsia="Times New Roman" w:hAnsi="Cambria" w:cstheme="minorHAnsi"/>
                <w:lang w:eastAsia="en-AU"/>
              </w:rPr>
            </w:pPr>
          </w:p>
        </w:tc>
      </w:tr>
      <w:tr w:rsidR="007822B4" w14:paraId="44886083" w14:textId="77777777" w:rsidTr="00BE737B">
        <w:trPr>
          <w:trHeight w:val="507"/>
        </w:trPr>
        <w:tc>
          <w:tcPr>
            <w:tcW w:w="2123" w:type="dxa"/>
          </w:tcPr>
          <w:p w14:paraId="28F2CC53" w14:textId="77777777" w:rsidR="007822B4" w:rsidRPr="00074C50" w:rsidRDefault="007822B4" w:rsidP="00472FB4">
            <w:pPr>
              <w:pStyle w:val="Title"/>
              <w:rPr>
                <w:rFonts w:ascii="Cambria" w:hAnsi="Cambria"/>
                <w:sz w:val="22"/>
                <w:szCs w:val="22"/>
              </w:rPr>
            </w:pPr>
            <w:r w:rsidRPr="00074C50">
              <w:rPr>
                <w:rFonts w:ascii="Cambria" w:hAnsi="Cambria"/>
                <w:sz w:val="22"/>
                <w:szCs w:val="22"/>
              </w:rPr>
              <w:t>Review cycle</w:t>
            </w:r>
          </w:p>
          <w:p w14:paraId="4FB5D019" w14:textId="77777777" w:rsidR="00A54A9C" w:rsidRPr="00074C50" w:rsidRDefault="00A54A9C" w:rsidP="00A54A9C">
            <w:pPr>
              <w:rPr>
                <w:rFonts w:ascii="Cambria" w:hAnsi="Cambria"/>
                <w:sz w:val="22"/>
                <w:szCs w:val="22"/>
              </w:rPr>
            </w:pPr>
          </w:p>
          <w:p w14:paraId="6AAF8E05" w14:textId="77777777" w:rsidR="00A54A9C" w:rsidRPr="00074C50" w:rsidRDefault="00A54A9C" w:rsidP="00A54A9C">
            <w:pPr>
              <w:rPr>
                <w:rFonts w:ascii="Cambria" w:hAnsi="Cambria"/>
                <w:sz w:val="22"/>
                <w:szCs w:val="22"/>
              </w:rPr>
            </w:pPr>
          </w:p>
          <w:p w14:paraId="48FFA918" w14:textId="77777777" w:rsidR="00A54A9C" w:rsidRPr="00074C50" w:rsidRDefault="00A54A9C" w:rsidP="00A54A9C">
            <w:pPr>
              <w:rPr>
                <w:rFonts w:ascii="Cambria" w:hAnsi="Cambria"/>
                <w:sz w:val="22"/>
                <w:szCs w:val="22"/>
              </w:rPr>
            </w:pPr>
          </w:p>
          <w:p w14:paraId="0A03C98E" w14:textId="77777777" w:rsidR="00A54A9C" w:rsidRPr="00074C50" w:rsidRDefault="00A54A9C" w:rsidP="00A54A9C">
            <w:pPr>
              <w:rPr>
                <w:rFonts w:ascii="Cambria" w:hAnsi="Cambria"/>
                <w:sz w:val="22"/>
                <w:szCs w:val="22"/>
              </w:rPr>
            </w:pPr>
          </w:p>
          <w:p w14:paraId="78389B96" w14:textId="1306E174" w:rsidR="00A54A9C" w:rsidRPr="00074C50" w:rsidRDefault="00A54A9C" w:rsidP="00A54A9C">
            <w:pPr>
              <w:rPr>
                <w:rFonts w:ascii="Cambria" w:hAnsi="Cambria"/>
                <w:sz w:val="22"/>
                <w:szCs w:val="22"/>
              </w:rPr>
            </w:pPr>
          </w:p>
        </w:tc>
        <w:tc>
          <w:tcPr>
            <w:tcW w:w="7942" w:type="dxa"/>
          </w:tcPr>
          <w:tbl>
            <w:tblPr>
              <w:tblStyle w:val="TableGrid"/>
              <w:tblpPr w:leftFromText="180" w:rightFromText="180" w:horzAnchor="margin" w:tblpY="463"/>
              <w:tblOverlap w:val="never"/>
              <w:tblW w:w="0" w:type="auto"/>
              <w:shd w:val="clear" w:color="auto" w:fill="EDEDED" w:themeFill="accent3" w:themeFillTint="33"/>
              <w:tblLook w:val="04A0" w:firstRow="1" w:lastRow="0" w:firstColumn="1" w:lastColumn="0" w:noHBand="0" w:noVBand="1"/>
            </w:tblPr>
            <w:tblGrid>
              <w:gridCol w:w="3114"/>
              <w:gridCol w:w="4374"/>
            </w:tblGrid>
            <w:tr w:rsidR="00E7797A" w:rsidRPr="00074C50" w14:paraId="3CF2948D" w14:textId="77777777" w:rsidTr="002271E2">
              <w:trPr>
                <w:trHeight w:val="299"/>
              </w:trPr>
              <w:tc>
                <w:tcPr>
                  <w:tcW w:w="3114" w:type="dxa"/>
                  <w:shd w:val="clear" w:color="auto" w:fill="EDEDED" w:themeFill="accent3" w:themeFillTint="33"/>
                </w:tcPr>
                <w:p w14:paraId="2464AE61" w14:textId="77777777" w:rsidR="00E7797A" w:rsidRPr="00074C50" w:rsidRDefault="00E7797A" w:rsidP="00E7797A">
                  <w:pPr>
                    <w:rPr>
                      <w:rFonts w:ascii="Cambria" w:hAnsi="Cambria"/>
                      <w:sz w:val="22"/>
                      <w:szCs w:val="22"/>
                    </w:rPr>
                  </w:pPr>
                  <w:r w:rsidRPr="00074C50">
                    <w:rPr>
                      <w:rFonts w:ascii="Cambria" w:eastAsia="Calibri" w:hAnsi="Cambria"/>
                      <w:b/>
                      <w:bCs/>
                      <w:sz w:val="22"/>
                      <w:szCs w:val="22"/>
                    </w:rPr>
                    <w:t>Policy last reviewed</w:t>
                  </w:r>
                </w:p>
              </w:tc>
              <w:tc>
                <w:tcPr>
                  <w:tcW w:w="4374" w:type="dxa"/>
                  <w:shd w:val="clear" w:color="auto" w:fill="EDEDED" w:themeFill="accent3" w:themeFillTint="33"/>
                </w:tcPr>
                <w:p w14:paraId="4582909C" w14:textId="789CDFD5" w:rsidR="00E7797A" w:rsidRPr="00074C50" w:rsidRDefault="00074C50" w:rsidP="00074C50">
                  <w:pPr>
                    <w:rPr>
                      <w:rFonts w:ascii="Cambria" w:hAnsi="Cambria"/>
                      <w:sz w:val="22"/>
                      <w:szCs w:val="22"/>
                    </w:rPr>
                  </w:pPr>
                  <w:r w:rsidRPr="00074C50">
                    <w:rPr>
                      <w:rFonts w:ascii="Cambria" w:hAnsi="Cambria"/>
                      <w:sz w:val="22"/>
                      <w:szCs w:val="22"/>
                    </w:rPr>
                    <w:t>December 2025</w:t>
                  </w:r>
                </w:p>
              </w:tc>
            </w:tr>
            <w:tr w:rsidR="00E7797A" w:rsidRPr="00074C50" w14:paraId="76F893BC" w14:textId="77777777" w:rsidTr="002271E2">
              <w:trPr>
                <w:trHeight w:val="281"/>
              </w:trPr>
              <w:tc>
                <w:tcPr>
                  <w:tcW w:w="3114" w:type="dxa"/>
                  <w:shd w:val="clear" w:color="auto" w:fill="EDEDED" w:themeFill="accent3" w:themeFillTint="33"/>
                </w:tcPr>
                <w:p w14:paraId="4A22D418" w14:textId="77777777" w:rsidR="00E7797A" w:rsidRPr="00074C50" w:rsidRDefault="00E7797A" w:rsidP="00E7797A">
                  <w:pPr>
                    <w:rPr>
                      <w:rFonts w:ascii="Cambria" w:hAnsi="Cambria"/>
                      <w:sz w:val="22"/>
                      <w:szCs w:val="22"/>
                    </w:rPr>
                  </w:pPr>
                  <w:r w:rsidRPr="00074C50">
                    <w:rPr>
                      <w:rFonts w:ascii="Cambria" w:eastAsia="Calibri" w:hAnsi="Cambria"/>
                      <w:b/>
                      <w:bCs/>
                      <w:sz w:val="22"/>
                      <w:szCs w:val="22"/>
                    </w:rPr>
                    <w:t>Approved by</w:t>
                  </w:r>
                </w:p>
              </w:tc>
              <w:tc>
                <w:tcPr>
                  <w:tcW w:w="4374" w:type="dxa"/>
                  <w:shd w:val="clear" w:color="auto" w:fill="EDEDED" w:themeFill="accent3" w:themeFillTint="33"/>
                </w:tcPr>
                <w:p w14:paraId="352F69BF" w14:textId="28916D66" w:rsidR="00E7797A" w:rsidRPr="00074C50" w:rsidRDefault="001566C2" w:rsidP="00074C50">
                  <w:pPr>
                    <w:rPr>
                      <w:rFonts w:ascii="Cambria" w:hAnsi="Cambria" w:cs="Arial"/>
                      <w:sz w:val="22"/>
                      <w:szCs w:val="22"/>
                    </w:rPr>
                  </w:pPr>
                  <w:r w:rsidRPr="00074C50">
                    <w:rPr>
                      <w:rFonts w:ascii="Cambria" w:hAnsi="Cambria" w:cs="Arial"/>
                      <w:sz w:val="22"/>
                      <w:szCs w:val="22"/>
                    </w:rPr>
                    <w:t xml:space="preserve">This Policy was approved by </w:t>
                  </w:r>
                  <w:r w:rsidR="00074C50" w:rsidRPr="00074C50">
                    <w:rPr>
                      <w:rFonts w:ascii="Cambria" w:hAnsi="Cambria" w:cs="Arial"/>
                      <w:sz w:val="22"/>
                      <w:szCs w:val="22"/>
                    </w:rPr>
                    <w:t xml:space="preserve">Murray Surkitt, </w:t>
                  </w:r>
                  <w:r w:rsidRPr="00074C50">
                    <w:rPr>
                      <w:rFonts w:ascii="Cambria" w:hAnsi="Cambria" w:cs="Arial"/>
                      <w:sz w:val="22"/>
                      <w:szCs w:val="22"/>
                    </w:rPr>
                    <w:t xml:space="preserve">principal on </w:t>
                  </w:r>
                  <w:r w:rsidR="00074C50" w:rsidRPr="00074C50">
                    <w:rPr>
                      <w:rFonts w:ascii="Cambria" w:hAnsi="Cambria" w:cs="Arial"/>
                      <w:sz w:val="22"/>
                      <w:szCs w:val="22"/>
                    </w:rPr>
                    <w:t>10</w:t>
                  </w:r>
                  <w:r w:rsidRPr="00074C50">
                    <w:rPr>
                      <w:rFonts w:ascii="Cambria" w:hAnsi="Cambria" w:cs="Arial"/>
                      <w:sz w:val="22"/>
                      <w:szCs w:val="22"/>
                    </w:rPr>
                    <w:t>/1</w:t>
                  </w:r>
                  <w:r w:rsidR="00074C50" w:rsidRPr="00074C50">
                    <w:rPr>
                      <w:rFonts w:ascii="Cambria" w:hAnsi="Cambria" w:cs="Arial"/>
                      <w:sz w:val="22"/>
                      <w:szCs w:val="22"/>
                    </w:rPr>
                    <w:t>2</w:t>
                  </w:r>
                  <w:r w:rsidRPr="00074C50">
                    <w:rPr>
                      <w:rFonts w:ascii="Cambria" w:hAnsi="Cambria" w:cs="Arial"/>
                      <w:sz w:val="22"/>
                      <w:szCs w:val="22"/>
                    </w:rPr>
                    <w:t>/2</w:t>
                  </w:r>
                  <w:r w:rsidR="00074C50" w:rsidRPr="00074C50">
                    <w:rPr>
                      <w:rFonts w:ascii="Cambria" w:hAnsi="Cambria" w:cs="Arial"/>
                      <w:sz w:val="22"/>
                      <w:szCs w:val="22"/>
                    </w:rPr>
                    <w:t>5</w:t>
                  </w:r>
                  <w:r w:rsidRPr="00074C50">
                    <w:rPr>
                      <w:rFonts w:ascii="Cambria" w:hAnsi="Cambria" w:cs="Arial"/>
                      <w:sz w:val="22"/>
                      <w:szCs w:val="22"/>
                    </w:rPr>
                    <w:t xml:space="preserve"> at School Council.</w:t>
                  </w:r>
                </w:p>
              </w:tc>
            </w:tr>
            <w:tr w:rsidR="00E7797A" w:rsidRPr="00074C50" w14:paraId="38BD8616" w14:textId="77777777" w:rsidTr="002271E2">
              <w:trPr>
                <w:trHeight w:val="299"/>
              </w:trPr>
              <w:tc>
                <w:tcPr>
                  <w:tcW w:w="3114" w:type="dxa"/>
                  <w:shd w:val="clear" w:color="auto" w:fill="EDEDED" w:themeFill="accent3" w:themeFillTint="33"/>
                </w:tcPr>
                <w:p w14:paraId="39487AD9" w14:textId="77777777" w:rsidR="00E7797A" w:rsidRPr="00074C50" w:rsidRDefault="00E7797A" w:rsidP="00E7797A">
                  <w:pPr>
                    <w:rPr>
                      <w:rFonts w:ascii="Cambria" w:hAnsi="Cambria"/>
                      <w:sz w:val="22"/>
                      <w:szCs w:val="22"/>
                    </w:rPr>
                  </w:pPr>
                  <w:r w:rsidRPr="00074C50">
                    <w:rPr>
                      <w:rFonts w:ascii="Cambria" w:eastAsia="Calibri" w:hAnsi="Cambria"/>
                      <w:b/>
                      <w:bCs/>
                      <w:sz w:val="22"/>
                      <w:szCs w:val="22"/>
                    </w:rPr>
                    <w:t>Next scheduled review date</w:t>
                  </w:r>
                </w:p>
              </w:tc>
              <w:tc>
                <w:tcPr>
                  <w:tcW w:w="4374" w:type="dxa"/>
                  <w:shd w:val="clear" w:color="auto" w:fill="EDEDED" w:themeFill="accent3" w:themeFillTint="33"/>
                </w:tcPr>
                <w:p w14:paraId="2C9DB1DF" w14:textId="6A879B26" w:rsidR="00E7797A" w:rsidRPr="00074C50" w:rsidRDefault="00074C50" w:rsidP="00074C50">
                  <w:pPr>
                    <w:rPr>
                      <w:rFonts w:ascii="Cambria" w:hAnsi="Cambria"/>
                      <w:sz w:val="22"/>
                      <w:szCs w:val="22"/>
                    </w:rPr>
                  </w:pPr>
                  <w:r w:rsidRPr="00074C50">
                    <w:rPr>
                      <w:rFonts w:ascii="Cambria" w:hAnsi="Cambria"/>
                      <w:sz w:val="22"/>
                      <w:szCs w:val="22"/>
                    </w:rPr>
                    <w:t>December 2029</w:t>
                  </w:r>
                </w:p>
              </w:tc>
            </w:tr>
          </w:tbl>
          <w:p w14:paraId="38D02507" w14:textId="78888ECA" w:rsidR="00902BC5" w:rsidRPr="00074C50" w:rsidRDefault="00902BC5" w:rsidP="007822B4">
            <w:pPr>
              <w:jc w:val="both"/>
              <w:rPr>
                <w:rFonts w:ascii="Cambria" w:hAnsi="Cambria" w:cs="Arial"/>
                <w:sz w:val="22"/>
                <w:szCs w:val="22"/>
              </w:rPr>
            </w:pPr>
          </w:p>
          <w:p w14:paraId="0B728C98" w14:textId="50971CBD" w:rsidR="007822B4" w:rsidRPr="00074C50" w:rsidRDefault="007822B4" w:rsidP="00B45146">
            <w:pPr>
              <w:jc w:val="both"/>
              <w:rPr>
                <w:rFonts w:ascii="Cambria" w:hAnsi="Cambria" w:cs="Arial"/>
                <w:sz w:val="22"/>
                <w:szCs w:val="22"/>
              </w:rPr>
            </w:pPr>
          </w:p>
        </w:tc>
      </w:tr>
    </w:tbl>
    <w:p w14:paraId="3EEB4B65" w14:textId="77777777" w:rsidR="001E4491" w:rsidRDefault="001E4491"/>
    <w:sectPr w:rsidR="001E4491" w:rsidSect="00914D7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877"/>
    <w:multiLevelType w:val="hybridMultilevel"/>
    <w:tmpl w:val="26DE8BCE"/>
    <w:lvl w:ilvl="0" w:tplc="5CC2E4E0">
      <w:start w:val="1"/>
      <w:numFmt w:val="decimal"/>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 w15:restartNumberingAfterBreak="0">
    <w:nsid w:val="2F1A23A5"/>
    <w:multiLevelType w:val="hybridMultilevel"/>
    <w:tmpl w:val="0C3CDC58"/>
    <w:lvl w:ilvl="0" w:tplc="8ED4C14E">
      <w:start w:val="1"/>
      <w:numFmt w:val="bullet"/>
      <w:lvlText w:val=""/>
      <w:lvlJc w:val="left"/>
      <w:pPr>
        <w:ind w:left="851" w:hanging="567"/>
      </w:pPr>
      <w:rPr>
        <w:rFonts w:ascii="Symbol" w:hAnsi="Symbol" w:hint="default"/>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2" w15:restartNumberingAfterBreak="0">
    <w:nsid w:val="31E71B2E"/>
    <w:multiLevelType w:val="hybridMultilevel"/>
    <w:tmpl w:val="F3FEDB16"/>
    <w:lvl w:ilvl="0" w:tplc="0C09000F">
      <w:start w:val="1"/>
      <w:numFmt w:val="decimal"/>
      <w:lvlText w:val="%1."/>
      <w:lvlJc w:val="left"/>
      <w:pPr>
        <w:ind w:left="870" w:hanging="360"/>
      </w:pPr>
    </w:lvl>
    <w:lvl w:ilvl="1" w:tplc="0C090019" w:tentative="1">
      <w:start w:val="1"/>
      <w:numFmt w:val="lowerLetter"/>
      <w:lvlText w:val="%2."/>
      <w:lvlJc w:val="left"/>
      <w:pPr>
        <w:ind w:left="1590" w:hanging="360"/>
      </w:pPr>
    </w:lvl>
    <w:lvl w:ilvl="2" w:tplc="0C09001B" w:tentative="1">
      <w:start w:val="1"/>
      <w:numFmt w:val="lowerRoman"/>
      <w:lvlText w:val="%3."/>
      <w:lvlJc w:val="right"/>
      <w:pPr>
        <w:ind w:left="2310" w:hanging="180"/>
      </w:pPr>
    </w:lvl>
    <w:lvl w:ilvl="3" w:tplc="0C09000F" w:tentative="1">
      <w:start w:val="1"/>
      <w:numFmt w:val="decimal"/>
      <w:lvlText w:val="%4."/>
      <w:lvlJc w:val="left"/>
      <w:pPr>
        <w:ind w:left="3030" w:hanging="360"/>
      </w:pPr>
    </w:lvl>
    <w:lvl w:ilvl="4" w:tplc="0C090019" w:tentative="1">
      <w:start w:val="1"/>
      <w:numFmt w:val="lowerLetter"/>
      <w:lvlText w:val="%5."/>
      <w:lvlJc w:val="left"/>
      <w:pPr>
        <w:ind w:left="3750" w:hanging="360"/>
      </w:pPr>
    </w:lvl>
    <w:lvl w:ilvl="5" w:tplc="0C09001B" w:tentative="1">
      <w:start w:val="1"/>
      <w:numFmt w:val="lowerRoman"/>
      <w:lvlText w:val="%6."/>
      <w:lvlJc w:val="right"/>
      <w:pPr>
        <w:ind w:left="4470" w:hanging="180"/>
      </w:pPr>
    </w:lvl>
    <w:lvl w:ilvl="6" w:tplc="0C09000F" w:tentative="1">
      <w:start w:val="1"/>
      <w:numFmt w:val="decimal"/>
      <w:lvlText w:val="%7."/>
      <w:lvlJc w:val="left"/>
      <w:pPr>
        <w:ind w:left="5190" w:hanging="360"/>
      </w:pPr>
    </w:lvl>
    <w:lvl w:ilvl="7" w:tplc="0C090019" w:tentative="1">
      <w:start w:val="1"/>
      <w:numFmt w:val="lowerLetter"/>
      <w:lvlText w:val="%8."/>
      <w:lvlJc w:val="left"/>
      <w:pPr>
        <w:ind w:left="5910" w:hanging="360"/>
      </w:pPr>
    </w:lvl>
    <w:lvl w:ilvl="8" w:tplc="0C09001B" w:tentative="1">
      <w:start w:val="1"/>
      <w:numFmt w:val="lowerRoman"/>
      <w:lvlText w:val="%9."/>
      <w:lvlJc w:val="right"/>
      <w:pPr>
        <w:ind w:left="6630" w:hanging="180"/>
      </w:pPr>
    </w:lvl>
  </w:abstractNum>
  <w:abstractNum w:abstractNumId="3"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D907B0"/>
    <w:multiLevelType w:val="hybridMultilevel"/>
    <w:tmpl w:val="9AFEAE20"/>
    <w:lvl w:ilvl="0" w:tplc="8ED4C14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B36AF8"/>
    <w:multiLevelType w:val="hybridMultilevel"/>
    <w:tmpl w:val="CB0654D4"/>
    <w:lvl w:ilvl="0" w:tplc="B304392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469435">
    <w:abstractNumId w:val="5"/>
  </w:num>
  <w:num w:numId="2" w16cid:durableId="1331980723">
    <w:abstractNumId w:val="3"/>
  </w:num>
  <w:num w:numId="3" w16cid:durableId="666134446">
    <w:abstractNumId w:val="4"/>
  </w:num>
  <w:num w:numId="4" w16cid:durableId="211384646">
    <w:abstractNumId w:val="2"/>
  </w:num>
  <w:num w:numId="5" w16cid:durableId="1459910201">
    <w:abstractNumId w:val="0"/>
  </w:num>
  <w:num w:numId="6" w16cid:durableId="214060725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FB4"/>
    <w:rsid w:val="00042432"/>
    <w:rsid w:val="0006602E"/>
    <w:rsid w:val="00074C50"/>
    <w:rsid w:val="000870EF"/>
    <w:rsid w:val="00094F96"/>
    <w:rsid w:val="000D78EE"/>
    <w:rsid w:val="00135E12"/>
    <w:rsid w:val="001566C2"/>
    <w:rsid w:val="00174D4A"/>
    <w:rsid w:val="001C60AA"/>
    <w:rsid w:val="001E4491"/>
    <w:rsid w:val="0021194A"/>
    <w:rsid w:val="002271E2"/>
    <w:rsid w:val="0027560D"/>
    <w:rsid w:val="002A29B0"/>
    <w:rsid w:val="003345EC"/>
    <w:rsid w:val="00382BD2"/>
    <w:rsid w:val="003850C3"/>
    <w:rsid w:val="00390DF9"/>
    <w:rsid w:val="003A0D02"/>
    <w:rsid w:val="003C68D9"/>
    <w:rsid w:val="00447855"/>
    <w:rsid w:val="00472FB4"/>
    <w:rsid w:val="00480844"/>
    <w:rsid w:val="004A73DC"/>
    <w:rsid w:val="004D22DA"/>
    <w:rsid w:val="004D38B7"/>
    <w:rsid w:val="005274BC"/>
    <w:rsid w:val="00547F0C"/>
    <w:rsid w:val="005652D2"/>
    <w:rsid w:val="00570726"/>
    <w:rsid w:val="00586C7B"/>
    <w:rsid w:val="00601842"/>
    <w:rsid w:val="00606B42"/>
    <w:rsid w:val="0061484A"/>
    <w:rsid w:val="00632F7D"/>
    <w:rsid w:val="00664FDD"/>
    <w:rsid w:val="006A2274"/>
    <w:rsid w:val="00716F6C"/>
    <w:rsid w:val="007672ED"/>
    <w:rsid w:val="007822B4"/>
    <w:rsid w:val="008A52DA"/>
    <w:rsid w:val="00902BC5"/>
    <w:rsid w:val="00914D70"/>
    <w:rsid w:val="00976668"/>
    <w:rsid w:val="009D053D"/>
    <w:rsid w:val="009F1014"/>
    <w:rsid w:val="00A54A9C"/>
    <w:rsid w:val="00A66C71"/>
    <w:rsid w:val="00A86B96"/>
    <w:rsid w:val="00AC6EBB"/>
    <w:rsid w:val="00AE4F24"/>
    <w:rsid w:val="00B04270"/>
    <w:rsid w:val="00B45146"/>
    <w:rsid w:val="00B7269F"/>
    <w:rsid w:val="00B947DB"/>
    <w:rsid w:val="00BE737B"/>
    <w:rsid w:val="00BF7A3D"/>
    <w:rsid w:val="00C5355D"/>
    <w:rsid w:val="00C82B1F"/>
    <w:rsid w:val="00CB49C2"/>
    <w:rsid w:val="00CC3FA8"/>
    <w:rsid w:val="00CF4792"/>
    <w:rsid w:val="00D47B06"/>
    <w:rsid w:val="00DD399C"/>
    <w:rsid w:val="00DE69DF"/>
    <w:rsid w:val="00E11013"/>
    <w:rsid w:val="00E35DA5"/>
    <w:rsid w:val="00E44766"/>
    <w:rsid w:val="00E44E0D"/>
    <w:rsid w:val="00E7797A"/>
    <w:rsid w:val="00EE1844"/>
    <w:rsid w:val="00F231EF"/>
    <w:rsid w:val="00F76C55"/>
    <w:rsid w:val="00FA3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1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8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72FB4"/>
    <w:pPr>
      <w:keepNext/>
      <w:keepLines/>
      <w:spacing w:before="40" w:line="259" w:lineRule="auto"/>
      <w:outlineLvl w:val="2"/>
    </w:pPr>
    <w:rPr>
      <w:rFonts w:asciiTheme="majorHAnsi" w:eastAsiaTheme="majorEastAsia" w:hAnsiTheme="majorHAnsi" w:cstheme="majorBidi"/>
      <w:color w:val="1F4D78" w:themeColor="accent1" w:themeShade="7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2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72FB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FB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72FB4"/>
    <w:pPr>
      <w:ind w:left="720"/>
      <w:contextualSpacing/>
    </w:pPr>
    <w:rPr>
      <w:rFonts w:ascii="Cambria" w:eastAsia="Cambria" w:hAnsi="Cambria" w:cs="Times New Roman"/>
      <w:lang w:val="en-US"/>
    </w:rPr>
  </w:style>
  <w:style w:type="character" w:customStyle="1" w:styleId="Heading3Char">
    <w:name w:val="Heading 3 Char"/>
    <w:basedOn w:val="DefaultParagraphFont"/>
    <w:link w:val="Heading3"/>
    <w:uiPriority w:val="9"/>
    <w:rsid w:val="00472FB4"/>
    <w:rPr>
      <w:rFonts w:asciiTheme="majorHAnsi" w:eastAsiaTheme="majorEastAsia" w:hAnsiTheme="majorHAnsi" w:cstheme="majorBidi"/>
      <w:color w:val="1F4D78" w:themeColor="accent1" w:themeShade="7F"/>
      <w:lang w:val="en-AU"/>
    </w:rPr>
  </w:style>
  <w:style w:type="character" w:styleId="Hyperlink">
    <w:name w:val="Hyperlink"/>
    <w:uiPriority w:val="99"/>
    <w:rsid w:val="00472FB4"/>
    <w:rPr>
      <w:color w:val="0000FF"/>
      <w:u w:val="single"/>
    </w:rPr>
  </w:style>
  <w:style w:type="paragraph" w:customStyle="1" w:styleId="Table-RowHeading">
    <w:name w:val="Table - Row Heading"/>
    <w:basedOn w:val="Normal"/>
    <w:rsid w:val="007822B4"/>
    <w:pPr>
      <w:widowControl w:val="0"/>
      <w:autoSpaceDE w:val="0"/>
      <w:autoSpaceDN w:val="0"/>
      <w:adjustRightInd w:val="0"/>
    </w:pPr>
    <w:rPr>
      <w:rFonts w:ascii="Arial" w:eastAsia="Times New Roman" w:hAnsi="Arial" w:cs="Arial"/>
      <w:color w:val="737277"/>
      <w:sz w:val="18"/>
      <w:szCs w:val="18"/>
      <w:lang w:val="en-US"/>
    </w:rPr>
  </w:style>
  <w:style w:type="character" w:styleId="FollowedHyperlink">
    <w:name w:val="FollowedHyperlink"/>
    <w:basedOn w:val="DefaultParagraphFont"/>
    <w:uiPriority w:val="99"/>
    <w:semiHidden/>
    <w:unhideWhenUsed/>
    <w:rsid w:val="00902BC5"/>
    <w:rPr>
      <w:color w:val="954F72" w:themeColor="followedHyperlink"/>
      <w:u w:val="single"/>
    </w:rPr>
  </w:style>
  <w:style w:type="paragraph" w:customStyle="1" w:styleId="Bullet1">
    <w:name w:val="Bullet 1"/>
    <w:basedOn w:val="Normal"/>
    <w:next w:val="Normal"/>
    <w:qFormat/>
    <w:rsid w:val="00EE1844"/>
    <w:pPr>
      <w:numPr>
        <w:numId w:val="1"/>
      </w:numPr>
      <w:spacing w:after="120"/>
      <w:contextualSpacing/>
    </w:pPr>
    <w:rPr>
      <w:sz w:val="22"/>
      <w:lang w:val="en-AU"/>
    </w:rPr>
  </w:style>
  <w:style w:type="table" w:customStyle="1" w:styleId="TableGrid1">
    <w:name w:val="Table Grid1"/>
    <w:basedOn w:val="TableNormal"/>
    <w:next w:val="TableGrid"/>
    <w:uiPriority w:val="39"/>
    <w:rsid w:val="001566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1566C2"/>
    <w:pPr>
      <w:numPr>
        <w:numId w:val="2"/>
      </w:numPr>
      <w:spacing w:after="84"/>
    </w:pPr>
    <w:rPr>
      <w:rFonts w:ascii="Arial" w:eastAsia="Times New Roman" w:hAnsi="Arial" w:cs="Times New Roman"/>
      <w:color w:val="000000"/>
      <w:sz w:val="20"/>
      <w:lang w:val="en-AU"/>
    </w:rPr>
  </w:style>
  <w:style w:type="character" w:customStyle="1" w:styleId="Heading1Char">
    <w:name w:val="Heading 1 Char"/>
    <w:basedOn w:val="DefaultParagraphFont"/>
    <w:link w:val="Heading1"/>
    <w:uiPriority w:val="9"/>
    <w:rsid w:val="00447855"/>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47855"/>
    <w:pPr>
      <w:widowControl w:val="0"/>
      <w:autoSpaceDE w:val="0"/>
      <w:autoSpaceDN w:val="0"/>
    </w:pPr>
    <w:rPr>
      <w:rFonts w:ascii="Arial" w:eastAsia="Arial" w:hAnsi="Arial" w:cs="Arial"/>
      <w:sz w:val="22"/>
      <w:szCs w:val="22"/>
      <w:lang w:val="en-AU"/>
    </w:rPr>
  </w:style>
  <w:style w:type="character" w:customStyle="1" w:styleId="BodyTextChar">
    <w:name w:val="Body Text Char"/>
    <w:basedOn w:val="DefaultParagraphFont"/>
    <w:link w:val="BodyText"/>
    <w:uiPriority w:val="1"/>
    <w:rsid w:val="00447855"/>
    <w:rPr>
      <w:rFonts w:ascii="Arial" w:eastAsia="Arial" w:hAnsi="Arial" w:cs="Arial"/>
      <w:sz w:val="22"/>
      <w:szCs w:val="22"/>
      <w:lang w:val="en-AU"/>
    </w:rPr>
  </w:style>
  <w:style w:type="paragraph" w:styleId="Subtitle">
    <w:name w:val="Subtitle"/>
    <w:basedOn w:val="Normal"/>
    <w:next w:val="Normal"/>
    <w:link w:val="SubtitleChar"/>
    <w:uiPriority w:val="11"/>
    <w:qFormat/>
    <w:rsid w:val="00C82B1F"/>
    <w:pPr>
      <w:numPr>
        <w:ilvl w:val="1"/>
      </w:numPr>
      <w:spacing w:line="240" w:lineRule="atLeast"/>
    </w:pPr>
    <w:rPr>
      <w:rFonts w:ascii="Arial" w:eastAsiaTheme="majorEastAsia" w:hAnsi="Arial" w:cstheme="majorBidi"/>
      <w:color w:val="5A5A59"/>
      <w:sz w:val="27"/>
      <w:szCs w:val="27"/>
      <w:lang w:val="en-US"/>
    </w:rPr>
  </w:style>
  <w:style w:type="character" w:customStyle="1" w:styleId="SubtitleChar">
    <w:name w:val="Subtitle Char"/>
    <w:basedOn w:val="DefaultParagraphFont"/>
    <w:link w:val="Subtitle"/>
    <w:uiPriority w:val="11"/>
    <w:rsid w:val="00C82B1F"/>
    <w:rPr>
      <w:rFonts w:ascii="Arial" w:eastAsiaTheme="majorEastAsia" w:hAnsi="Arial" w:cstheme="majorBidi"/>
      <w:color w:val="5A5A59"/>
      <w:sz w:val="27"/>
      <w:szCs w:val="27"/>
      <w:lang w:val="en-US"/>
    </w:rPr>
  </w:style>
  <w:style w:type="paragraph" w:customStyle="1" w:styleId="pf0">
    <w:name w:val="pf0"/>
    <w:basedOn w:val="Normal"/>
    <w:rsid w:val="005274BC"/>
    <w:pPr>
      <w:spacing w:before="100" w:beforeAutospacing="1" w:after="100" w:afterAutospacing="1"/>
    </w:pPr>
    <w:rPr>
      <w:rFonts w:ascii="Times New Roman" w:eastAsia="Times New Roman" w:hAnsi="Times New Roman" w:cs="Times New Roman"/>
      <w:lang w:val="en-AU" w:eastAsia="en-AU"/>
    </w:rPr>
  </w:style>
  <w:style w:type="character" w:customStyle="1" w:styleId="cf01">
    <w:name w:val="cf01"/>
    <w:basedOn w:val="DefaultParagraphFont"/>
    <w:rsid w:val="005274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enrolment/guidance/placement-policy" TargetMode="External"/><Relationship Id="rId3" Type="http://schemas.openxmlformats.org/officeDocument/2006/relationships/settings" Target="settings.xml"/><Relationship Id="rId7" Type="http://schemas.openxmlformats.org/officeDocument/2006/relationships/hyperlink" Target="https://www2.education.vic.gov.au/pal/enrolment/guidance/determining-permanent-resid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education.vic.gov.au/pal/enrolment/guidance/appealing-enrolment-deci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Murray Surkitt</cp:lastModifiedBy>
  <cp:revision>2</cp:revision>
  <cp:lastPrinted>2025-12-10T05:55:00Z</cp:lastPrinted>
  <dcterms:created xsi:type="dcterms:W3CDTF">2025-12-11T05:24:00Z</dcterms:created>
  <dcterms:modified xsi:type="dcterms:W3CDTF">2025-12-11T05:24:00Z</dcterms:modified>
</cp:coreProperties>
</file>